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05" w:rsidRPr="00C91405" w:rsidRDefault="00C91405" w:rsidP="00C91405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C91405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Указ Президента РФ от 22 сентября 2006 г. N 1042 "О первоочередных мерах по обеспечению безопасности дорожного движения" (с изменениями и дополнениями) (утратил силу)</w:t>
      </w:r>
    </w:p>
    <w:p w:rsidR="00C91405" w:rsidRPr="00C91405" w:rsidRDefault="00C91405" w:rsidP="00C914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bookmarkStart w:id="0" w:name="text"/>
      <w:bookmarkEnd w:id="0"/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Указ Президента РФ от 22 сентября 2006 г. N 1042</w:t>
      </w:r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"О первоочередных мерах по обеспечению безопасности дорожного движения"</w:t>
      </w:r>
    </w:p>
    <w:p w:rsidR="00C91405" w:rsidRPr="00C91405" w:rsidRDefault="00C91405" w:rsidP="00C91405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914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C914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C914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C91405" w:rsidRPr="00C91405" w:rsidRDefault="00C91405" w:rsidP="00C914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14 января, 27 октября 2011 г.</w:t>
      </w:r>
    </w:p>
    <w:p w:rsidR="00C91405" w:rsidRPr="00C91405" w:rsidRDefault="00C91405" w:rsidP="00C91405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914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C91405" w:rsidRPr="00C91405" w:rsidRDefault="00C91405" w:rsidP="00C914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5" w:anchor="block_71" w:history="1">
        <w:r w:rsidRPr="00C9140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Указом</w:t>
        </w:r>
      </w:hyperlink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Президента РФ от 19 мая 2012 г. N 635 настоящий Указ признан утратившим силу с 1 июля 2012 г.</w:t>
      </w:r>
    </w:p>
    <w:p w:rsidR="00C91405" w:rsidRPr="00C91405" w:rsidRDefault="00C91405" w:rsidP="00C914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целях повышения безопасности дорожного движения, сокращения количества граждан, пострадавших в дорожно-транспортных происшествиях, и снижения тяжести их последствий постановляю:</w:t>
      </w:r>
    </w:p>
    <w:p w:rsidR="00C91405" w:rsidRPr="00C91405" w:rsidRDefault="00C91405" w:rsidP="00C914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Правительству Российской Федерации совместно с органами исполнительной власти субъектов Российской Федерации принять неотложные меры, направленные:</w:t>
      </w:r>
    </w:p>
    <w:p w:rsidR="00C91405" w:rsidRPr="00C91405" w:rsidRDefault="00C91405" w:rsidP="00C914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а) на дальнейшее совершенствование нормативно-правовой базы, регулирующей вопросы безопасности дорожного движения;</w:t>
      </w:r>
      <w:proofErr w:type="gramEnd"/>
    </w:p>
    <w:p w:rsidR="00C91405" w:rsidRPr="00C91405" w:rsidRDefault="00C91405" w:rsidP="00C914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б) на улучшение условий дорожного движения, увеличение пропускной способности улиц и дорог, в первую очередь в городах федерального значения и административных центрах субъектов Российской Федерации; на организацию работ по строительству и обустройству достаточного количества мест для парковки транспортных средств, подземных и надземных переходов, созданию безопасных условий для пешеходов;</w:t>
      </w:r>
    </w:p>
    <w:p w:rsidR="00C91405" w:rsidRPr="00C91405" w:rsidRDefault="00C91405" w:rsidP="00C914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в) на создание системы образования и информационно-пропагандистского обеспечения в области безопасности дорожного движения;</w:t>
      </w:r>
    </w:p>
    <w:p w:rsidR="00C91405" w:rsidRPr="00C91405" w:rsidRDefault="00C91405" w:rsidP="00C914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г) на повышение эффективности и оперативности оказания экстренной помощи гражданам, пострадавшим в дорожно-транспортных происшествиях;</w:t>
      </w:r>
    </w:p>
    <w:p w:rsidR="00C91405" w:rsidRPr="00C91405" w:rsidRDefault="00C91405" w:rsidP="00C914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д) на реализацию в установленные сроки </w:t>
      </w:r>
      <w:hyperlink r:id="rId6" w:anchor="block_1000" w:history="1">
        <w:r w:rsidRPr="00C9140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федеральной целевой программы</w:t>
        </w:r>
      </w:hyperlink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"Повышение безопасности дорожного движения в 2006 - 2012 годах";</w:t>
      </w:r>
    </w:p>
    <w:p w:rsidR="00C91405" w:rsidRPr="00C91405" w:rsidRDefault="00C91405" w:rsidP="00C914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е) на разработку и реализацию комплекса дополнительных мероприятий по социальной и правовой защищенности </w:t>
      </w:r>
      <w:proofErr w:type="gramStart"/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сотрудников Государственной инспекции безопасности дорожного движения Министерства внутренних дел Российской Федерации</w:t>
      </w:r>
      <w:proofErr w:type="gramEnd"/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C91405" w:rsidRPr="00C91405" w:rsidRDefault="00C91405" w:rsidP="00C914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Правительству Российской Федерации:</w:t>
      </w:r>
    </w:p>
    <w:p w:rsidR="00C91405" w:rsidRPr="00C91405" w:rsidRDefault="00C91405" w:rsidP="00C914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а) утвердить до 1 ноября 2006 г.:</w:t>
      </w:r>
    </w:p>
    <w:p w:rsidR="00C91405" w:rsidRPr="00C91405" w:rsidRDefault="00C91405" w:rsidP="00C914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7" w:anchor="block_1000" w:history="1">
        <w:proofErr w:type="gramStart"/>
        <w:r w:rsidRPr="00C9140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перечень</w:t>
        </w:r>
      </w:hyperlink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 государственных органов, на транспортные средства которых устанавливаются специальные световые и звуковые сигналы (далее - специальные сигналы) при отсутствии специальных </w:t>
      </w:r>
      <w:proofErr w:type="spellStart"/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цветографических</w:t>
      </w:r>
      <w:proofErr w:type="spellEnd"/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схем на наружных поверхностях этих транспортных средств, предусмотрев, что их общее количество не должно превышать 1000 единиц (за исключением транспортных средств, обслуживающих лиц, подлежащих государственной охране);</w:t>
      </w:r>
      <w:proofErr w:type="gramEnd"/>
    </w:p>
    <w:p w:rsidR="00C91405" w:rsidRPr="00C91405" w:rsidRDefault="00C91405" w:rsidP="00C914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8" w:anchor="block_1000" w:history="1">
        <w:r w:rsidRPr="00C9140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требования к транспортным средствам</w:t>
        </w:r>
      </w:hyperlink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названным в </w:t>
      </w:r>
      <w:hyperlink r:id="rId9" w:anchor="block_32" w:history="1">
        <w:r w:rsidRPr="00C9140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подпункте "б" пункта 3</w:t>
        </w:r>
      </w:hyperlink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настоящего Указа;</w:t>
      </w:r>
    </w:p>
    <w:p w:rsidR="00C91405" w:rsidRPr="00C91405" w:rsidRDefault="00C91405" w:rsidP="00C914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0" w:anchor="block_1000" w:history="1">
        <w:r w:rsidRPr="00C9140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положение</w:t>
        </w:r>
      </w:hyperlink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 подготовке и допуске водителей к управлению транспортными средствами, оборудованными специальными сигналами;</w:t>
      </w:r>
    </w:p>
    <w:p w:rsidR="00C91405" w:rsidRPr="00C91405" w:rsidRDefault="00C91405" w:rsidP="00C914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1" w:anchor="block_1000" w:history="1">
        <w:r w:rsidRPr="00C9140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положение</w:t>
        </w:r>
      </w:hyperlink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 о сопровождении транспортных средств автомашинами Государственной инспекции </w:t>
      </w:r>
      <w:proofErr w:type="gramStart"/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безопасности дорожного движения Министерства внутренних дел Российской Федерации</w:t>
      </w:r>
      <w:proofErr w:type="gramEnd"/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 военной автомобильной инспекции, предусмотрев в нем </w:t>
      </w:r>
      <w:hyperlink r:id="rId12" w:anchor="block_1200" w:history="1">
        <w:r w:rsidRPr="00C9140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перечень</w:t>
        </w:r>
      </w:hyperlink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случаев сопровождения и условия, при которых сопровождение осуществляется по требованиям безопасности;</w:t>
      </w:r>
    </w:p>
    <w:p w:rsidR="00C91405" w:rsidRPr="00C91405" w:rsidRDefault="00C91405" w:rsidP="00C914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б) внести в месячный срок в Государственную Думу Федерального Собрания Российской Федерации проект федерального закона, предусматривающий внесение изменений в законодательные акты Российской Федерации, устанавливающих, в частности, запрет на оборудование транспортных средств, предоставляемых членам Совета Федерации Федерального Собрания Российской Федерации и депутатам Государственной Думы Федерального Собрания Российской Федерации, особыми государственными регистрационными знаками, а также порядок оборота специальных сигналов (ввоз, производство, торговля</w:t>
      </w:r>
      <w:proofErr w:type="gramEnd"/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установка);</w:t>
      </w:r>
    </w:p>
    <w:p w:rsidR="00C91405" w:rsidRPr="00C91405" w:rsidRDefault="00C91405" w:rsidP="00C914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в) обеспечить решение финансовых, организационных и иных вопросов, связанных с реализацией настоящего Указа;</w:t>
      </w:r>
    </w:p>
    <w:p w:rsidR="00C91405" w:rsidRPr="00C91405" w:rsidRDefault="00C91405" w:rsidP="00C914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г) представить в 2-месячный срок в установленном порядке предложения о внесении изменений в нормативные правовые акты Президента Российской Федерации в связи с изданием настоящего Указа;</w:t>
      </w:r>
    </w:p>
    <w:p w:rsidR="00C91405" w:rsidRPr="00C91405" w:rsidRDefault="00C91405" w:rsidP="00C914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д) привести свои нормативные правовые акты в соответствие с настоящим Указом.</w:t>
      </w:r>
    </w:p>
    <w:p w:rsidR="00C91405" w:rsidRPr="00C91405" w:rsidRDefault="00C91405" w:rsidP="00C914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Установить, что:</w:t>
      </w:r>
    </w:p>
    <w:p w:rsidR="00C91405" w:rsidRPr="00C91405" w:rsidRDefault="00C91405" w:rsidP="00C914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а) с 1 февраля 2007 г. на территории Российской Федерации не допускается использование особых государственных регистрационных знаков. Мероприятия, связанные с отменой указанных регистрационных знаков, осуществлять поэтапно, начиная со дня вступления в силу настоящего Указа;</w:t>
      </w:r>
    </w:p>
    <w:p w:rsidR="00C91405" w:rsidRPr="00C91405" w:rsidRDefault="00C91405" w:rsidP="00C91405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C9140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C91405" w:rsidRPr="00C91405" w:rsidRDefault="00C91405" w:rsidP="00C91405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13" w:anchor="block_1008" w:history="1">
        <w:r w:rsidRPr="00C91405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Указом</w:t>
        </w:r>
      </w:hyperlink>
      <w:r w:rsidRPr="00C9140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Президента РФ от 27 октября 2011 г. N 1434 в подпункт "б" пункта 3 настоящего Указа внесены изменения</w:t>
      </w:r>
    </w:p>
    <w:p w:rsidR="00C91405" w:rsidRPr="00C91405" w:rsidRDefault="00C91405" w:rsidP="00C91405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14" w:anchor="block_32" w:history="1">
        <w:r w:rsidRPr="00C91405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См. текст подпункта в предыдущей редакции</w:t>
        </w:r>
      </w:hyperlink>
    </w:p>
    <w:p w:rsidR="00C91405" w:rsidRPr="00C91405" w:rsidRDefault="00C91405" w:rsidP="00C914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б) устройствами для подачи специальных сигналов при наличии специальных </w:t>
      </w:r>
      <w:proofErr w:type="spellStart"/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цветографических</w:t>
      </w:r>
      <w:proofErr w:type="spellEnd"/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схем на наружных поверхностях транспортных средств оборудуются транспортные средства пожарной охраны, полиции, скорой медицинской помощи, аварийно-спасательных служб, военной автомобильной инспекции и следственных органов Следственного комитета Российской Федерации, используемые для осуществления неотложных действий по защите жизни и здоровья граждан.</w:t>
      </w:r>
    </w:p>
    <w:p w:rsidR="00C91405" w:rsidRPr="00C91405" w:rsidRDefault="00C91405" w:rsidP="00C914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Настоящий Указ вступает в силу со дня его </w:t>
      </w:r>
      <w:hyperlink r:id="rId15" w:history="1">
        <w:r w:rsidRPr="00C9140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официального опубликования</w:t>
        </w:r>
      </w:hyperlink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C91405" w:rsidRPr="00C91405" w:rsidRDefault="00C91405" w:rsidP="00C914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C91405" w:rsidRPr="00C91405" w:rsidTr="00C91405">
        <w:tc>
          <w:tcPr>
            <w:tcW w:w="3300" w:type="pct"/>
            <w:vAlign w:val="bottom"/>
            <w:hideMark/>
          </w:tcPr>
          <w:p w:rsidR="00C91405" w:rsidRPr="00C91405" w:rsidRDefault="00C91405" w:rsidP="00C9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C91405" w:rsidRPr="00C91405" w:rsidRDefault="00C91405" w:rsidP="00C91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C91405" w:rsidRPr="00C91405" w:rsidRDefault="00C91405" w:rsidP="00C914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C91405" w:rsidRPr="00C91405" w:rsidRDefault="00C91405" w:rsidP="00C914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Москва, Кремль</w:t>
      </w:r>
    </w:p>
    <w:p w:rsidR="00C91405" w:rsidRPr="00C91405" w:rsidRDefault="00C91405" w:rsidP="00C914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22 сентября 2006 г.</w:t>
      </w:r>
    </w:p>
    <w:p w:rsidR="00C91405" w:rsidRPr="00C91405" w:rsidRDefault="00C91405" w:rsidP="00C914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N 1042</w:t>
      </w:r>
    </w:p>
    <w:p w:rsidR="00887361" w:rsidRDefault="00C91405" w:rsidP="00C91405"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C914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Система ГАРАНТ: </w:t>
      </w:r>
      <w:hyperlink r:id="rId16" w:anchor="ixzz4OjzfVorf" w:history="1">
        <w:r w:rsidRPr="00C91405">
          <w:rPr>
            <w:rFonts w:ascii="Arial" w:eastAsia="Times New Roman" w:hAnsi="Arial" w:cs="Arial"/>
            <w:b/>
            <w:bCs/>
            <w:color w:val="003399"/>
            <w:sz w:val="18"/>
            <w:szCs w:val="18"/>
            <w:lang w:eastAsia="ru-RU"/>
          </w:rPr>
          <w:t>http://base.garant.ru/12149526/#ixzz4OjzfVorf</w:t>
        </w:r>
      </w:hyperlink>
      <w:bookmarkStart w:id="1" w:name="_GoBack"/>
      <w:bookmarkEnd w:id="1"/>
    </w:p>
    <w:sectPr w:rsidR="0088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4E"/>
    <w:rsid w:val="002D4B4E"/>
    <w:rsid w:val="00887361"/>
    <w:rsid w:val="00C9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4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1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55411/" TargetMode="External"/><Relationship Id="rId13" Type="http://schemas.openxmlformats.org/officeDocument/2006/relationships/hyperlink" Target="http://base.garant.ru/12191221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base.garant.ru/12150779/" TargetMode="External"/><Relationship Id="rId12" Type="http://schemas.openxmlformats.org/officeDocument/2006/relationships/hyperlink" Target="http://base.garant.ru/12151544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12149526/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base.garant.ru/189189/" TargetMode="External"/><Relationship Id="rId11" Type="http://schemas.openxmlformats.org/officeDocument/2006/relationships/hyperlink" Target="http://base.garant.ru/12151544/" TargetMode="External"/><Relationship Id="rId5" Type="http://schemas.openxmlformats.org/officeDocument/2006/relationships/hyperlink" Target="http://base.garant.ru/70177358/" TargetMode="External"/><Relationship Id="rId15" Type="http://schemas.openxmlformats.org/officeDocument/2006/relationships/hyperlink" Target="http://base.garant.ru/12249526/" TargetMode="External"/><Relationship Id="rId10" Type="http://schemas.openxmlformats.org/officeDocument/2006/relationships/hyperlink" Target="http://base.garant.ru/12157757/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49526/" TargetMode="External"/><Relationship Id="rId14" Type="http://schemas.openxmlformats.org/officeDocument/2006/relationships/hyperlink" Target="http://base.garant.ru/58163927/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AWJJH2MPE6E2-7866752-26</_dlc_DocId>
    <_dlc_DocIdUrl xmlns="4a252ca3-5a62-4c1c-90a6-29f4710e47f8">
      <Url>http://edu-sps.koiro.local/Kostroma_EDU/mdou73/_layouts/15/DocIdRedir.aspx?ID=AWJJH2MPE6E2-7866752-26</Url>
      <Description>AWJJH2MPE6E2-7866752-26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C9A2A752F88940A977689EF7AF6132" ma:contentTypeVersion="49" ma:contentTypeDescription="Создание документа." ma:contentTypeScope="" ma:versionID="678a5ec9a82ebb569ea3eb099a6e8a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092EB-5FBD-418C-AE84-CF38548BD6B1}"/>
</file>

<file path=customXml/itemProps2.xml><?xml version="1.0" encoding="utf-8"?>
<ds:datastoreItem xmlns:ds="http://schemas.openxmlformats.org/officeDocument/2006/customXml" ds:itemID="{C7A5BB96-AC8C-4B38-921E-857A86194075}"/>
</file>

<file path=customXml/itemProps3.xml><?xml version="1.0" encoding="utf-8"?>
<ds:datastoreItem xmlns:ds="http://schemas.openxmlformats.org/officeDocument/2006/customXml" ds:itemID="{B0E31460-C1F8-4E63-AFDD-600A87E3C6D3}"/>
</file>

<file path=customXml/itemProps4.xml><?xml version="1.0" encoding="utf-8"?>
<ds:datastoreItem xmlns:ds="http://schemas.openxmlformats.org/officeDocument/2006/customXml" ds:itemID="{C060D288-2D5F-4D55-9E69-AF64779D21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4923</Characters>
  <Application>Microsoft Office Word</Application>
  <DocSecurity>0</DocSecurity>
  <Lines>41</Lines>
  <Paragraphs>11</Paragraphs>
  <ScaleCrop>false</ScaleCrop>
  <Company>Hewlett-Packard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3</cp:revision>
  <dcterms:created xsi:type="dcterms:W3CDTF">2016-11-01T07:44:00Z</dcterms:created>
  <dcterms:modified xsi:type="dcterms:W3CDTF">2016-11-01T07:44:00Z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0x0101005FC9A2A752F88940A977689EF7AF6132</vt:lpwstr>
  </property>
  <property fmtid="{D5CDD505-2E9C-101B-9397-08002B2CF9AE}" pid="3" name="_dlc_DocIdItemGuid">
    <vt:lpwstr>c5a038e4-8be6-40f2-bc57-5751157d7c7a</vt:lpwstr>
  </property>
</Properties>
</file>