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95" w:rsidRDefault="009B5595" w:rsidP="009B5595">
      <w:pPr>
        <w:pStyle w:val="4"/>
        <w:spacing w:before="0"/>
        <w:rPr>
          <w:rFonts w:ascii="Times New Roman" w:hAnsi="Times New Roman" w:cs="Times New Roman"/>
          <w:bCs w:val="0"/>
          <w:color w:val="2A2723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>Средняя группа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b/>
          <w:bCs/>
          <w:color w:val="2A2723"/>
        </w:rPr>
        <w:t>1 занятие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</w:rPr>
      </w:pP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b/>
          <w:color w:val="2A2723"/>
        </w:rPr>
        <w:t>Задачи.</w:t>
      </w:r>
      <w:r>
        <w:rPr>
          <w:color w:val="2A2723"/>
        </w:rPr>
        <w:t xml:space="preserve"> Повторить ходьбу со сменой ведущего; упражнять в прыжках в длину с места; развивать ловкость в упражнениях с мячом.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b/>
          <w:color w:val="2A2723"/>
        </w:rPr>
        <w:t>1 часть.</w:t>
      </w:r>
      <w:r>
        <w:rPr>
          <w:color w:val="2A2723"/>
        </w:rPr>
        <w:t xml:space="preserve"> Ходьба в колонне по одному со сменой ведущего. Воспитатель называет ребенка по имени, он становится впереди колонны и ведет ее. Через некоторое время другой ребенок ведет колонну (2-3 смены ведущего). Ходьба и бег врассыпную по всему залу.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</w:rPr>
      </w:pPr>
      <w:r>
        <w:rPr>
          <w:b/>
          <w:color w:val="2A2723"/>
        </w:rPr>
        <w:t xml:space="preserve">2 часть. </w:t>
      </w:r>
      <w:proofErr w:type="spellStart"/>
      <w:r>
        <w:rPr>
          <w:b/>
          <w:i/>
          <w:color w:val="2A2723"/>
        </w:rPr>
        <w:t>Общеразвивающие</w:t>
      </w:r>
      <w:proofErr w:type="spellEnd"/>
      <w:r>
        <w:rPr>
          <w:b/>
          <w:i/>
          <w:color w:val="2A2723"/>
        </w:rPr>
        <w:t xml:space="preserve"> упражнения с кубиком.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1. И. п. - стойка ноги на ширине ступни, кубик в правой руке. Поднимаясь на носки, переложить кубик в левую руку, опустить, подняться на носки, переложить кубик в правую руку, вернуться в исходное положение (5 раз).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2. И. п. - стойка ноги на ширине ступни, кубик в правой руке. Присесть, переложить кубик в левую руку, встать, вернуться в исходное положение (5 раз).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 xml:space="preserve">3. И. п. </w:t>
      </w:r>
      <w:proofErr w:type="gramStart"/>
      <w:r>
        <w:rPr>
          <w:color w:val="2A2723"/>
        </w:rPr>
        <w:t>-с</w:t>
      </w:r>
      <w:proofErr w:type="gramEnd"/>
      <w:r>
        <w:rPr>
          <w:color w:val="2A2723"/>
        </w:rPr>
        <w:t>тойка на коленях, кубик в правой руке. Поворот вправо, положить кубик у носков ног, выпрямиться; поворот вправо, взять кубик, вернуться в исходное положение. То же влево (по 3 раза в каждую сторону).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4. И. п. -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5. И. п. - стойка ноги слегка расставлены, руки вдоль туловища. Кубик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на полу. Прыжки на двух ногах вокруг кубика в обе стороны (3-4 раза).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</w:rPr>
      </w:pPr>
      <w:r>
        <w:rPr>
          <w:b/>
          <w:color w:val="2A2723"/>
        </w:rPr>
        <w:t>Основные виды движений.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Прыжки в длину с места через шнур (ширина 40-50 см) (6-8 раз). 2. Перебрасывание мячей друг другу (8-10 раз).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Воспитатель вместе с детьми выкладывает шнуры. Упражнение в прыжках в длину с места выполняется шеренгами поочередно. Основное внимание уделяется правильному исходному положению и приземлению на полусогнутые ноги.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Дети перестраиваются в две шеренги. У одной шеренги мячи (среднего диаметра). Воспитатель напоминает, что бросать мяч способом двумя руками снизу следует как можно точнее партнеру в руки, а тот ловит мяч, не прижимая к груди (руки заранее не выставлять).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Подвижная игра «Котята и щенята».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b/>
          <w:color w:val="2A2723"/>
        </w:rPr>
        <w:t>3 часть.</w:t>
      </w:r>
      <w:r>
        <w:rPr>
          <w:color w:val="2A2723"/>
        </w:rPr>
        <w:t xml:space="preserve"> Ходьба в колонне по одному. Игра малой подвижности по выбору детей.</w:t>
      </w:r>
    </w:p>
    <w:p w:rsidR="009B5595" w:rsidRDefault="009B5595" w:rsidP="009B5595">
      <w:pPr>
        <w:pStyle w:val="4"/>
        <w:spacing w:before="0"/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</w:pPr>
    </w:p>
    <w:p w:rsidR="009B5595" w:rsidRDefault="009B5595" w:rsidP="009B5595">
      <w:pPr>
        <w:pStyle w:val="4"/>
        <w:spacing w:before="0"/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</w:pPr>
    </w:p>
    <w:p w:rsidR="009B5595" w:rsidRDefault="009B5595" w:rsidP="009B5595">
      <w:pPr>
        <w:pStyle w:val="4"/>
        <w:spacing w:before="0"/>
        <w:rPr>
          <w:rFonts w:ascii="Times New Roman" w:hAnsi="Times New Roman" w:cs="Times New Roman"/>
          <w:bCs w:val="0"/>
          <w:color w:val="2A2723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 xml:space="preserve">Май (2 неделя)      </w:t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</w:r>
      <w:r>
        <w:rPr>
          <w:rFonts w:ascii="Times New Roman" w:hAnsi="Times New Roman" w:cs="Times New Roman"/>
          <w:bCs w:val="0"/>
          <w:i w:val="0"/>
          <w:iCs w:val="0"/>
          <w:color w:val="2A2723"/>
          <w:sz w:val="24"/>
          <w:szCs w:val="24"/>
        </w:rPr>
        <w:tab/>
        <w:t>Средняя группа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b/>
          <w:bCs/>
          <w:color w:val="2A2723"/>
        </w:rPr>
        <w:t>2 занятие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</w:rPr>
      </w:pP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Прыжки через короткую скакалку на двух ногах на месте.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2. Перебрасывание мячей друг другу в парах (двумя руками из-за головы). Дистанция между детьми 2 м.</w:t>
      </w:r>
    </w:p>
    <w:p w:rsidR="009B5595" w:rsidRDefault="009B5595" w:rsidP="009B5595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>
        <w:rPr>
          <w:color w:val="2A2723"/>
        </w:rPr>
        <w:t>3. Метание мешочков на дальность (правой и левой рукой).</w:t>
      </w:r>
    </w:p>
    <w:p w:rsidR="00DA6246" w:rsidRDefault="00DA6246"/>
    <w:sectPr w:rsidR="00DA6246" w:rsidSect="00DA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95"/>
    <w:rsid w:val="00404542"/>
    <w:rsid w:val="008354B3"/>
    <w:rsid w:val="009B5595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4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B5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S5QAU4VNKZPS-2040-594</_dlc_DocId>
    <_dlc_DocIdUrl xmlns="6434c500-c195-4837-b047-5e71706d4cb2">
      <Url>http://www.eduportal44.ru/Buy/svetlayk/_layouts/15/DocIdRedir.aspx?ID=S5QAU4VNKZPS-2040-594</Url>
      <Description>S5QAU4VNKZPS-2040-594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2210D-AC25-4417-817B-F71ED872FD43}"/>
</file>

<file path=customXml/itemProps2.xml><?xml version="1.0" encoding="utf-8"?>
<ds:datastoreItem xmlns:ds="http://schemas.openxmlformats.org/officeDocument/2006/customXml" ds:itemID="{0ACD77AF-2A62-4132-8475-0E30CB4B3CD4}"/>
</file>

<file path=customXml/itemProps3.xml><?xml version="1.0" encoding="utf-8"?>
<ds:datastoreItem xmlns:ds="http://schemas.openxmlformats.org/officeDocument/2006/customXml" ds:itemID="{5CEE1D04-23DF-489E-9974-B54FA979A094}"/>
</file>

<file path=customXml/itemProps4.xml><?xml version="1.0" encoding="utf-8"?>
<ds:datastoreItem xmlns:ds="http://schemas.openxmlformats.org/officeDocument/2006/customXml" ds:itemID="{2D4174DB-BCA7-4578-A402-0AF2A9DBD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2020-05-14T09:44:00Z</dcterms:created>
  <dcterms:modified xsi:type="dcterms:W3CDTF">2020-05-14T09:44:00Z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2805db86-0f40-4c99-a3b3-469810f3a377</vt:lpwstr>
  </property>
</Properties>
</file>