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1604"/>
        <w:gridCol w:w="7217"/>
        <w:gridCol w:w="1607"/>
      </w:tblGrid>
      <w:tr w:rsidR="0099551D" w:rsidRPr="008312AE" w:rsidTr="00525C78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8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9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0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51D" w:rsidRPr="008312AE" w:rsidTr="00525C78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2B6E40">
        <w:rPr>
          <w:b/>
          <w:sz w:val="48"/>
          <w:szCs w:val="48"/>
        </w:rPr>
        <w:t>родителей</w:t>
      </w: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99551D" w:rsidRPr="00AB597A" w:rsidRDefault="0099551D" w:rsidP="00AB597A">
      <w:pPr>
        <w:pStyle w:val="headline"/>
        <w:spacing w:before="225" w:beforeAutospacing="0" w:after="225" w:afterAutospacing="0" w:line="432" w:lineRule="atLeast"/>
        <w:ind w:firstLine="405"/>
        <w:jc w:val="center"/>
        <w:rPr>
          <w:sz w:val="48"/>
          <w:szCs w:val="48"/>
        </w:rPr>
      </w:pPr>
      <w:r w:rsidRPr="00AB597A">
        <w:rPr>
          <w:sz w:val="48"/>
          <w:szCs w:val="48"/>
        </w:rPr>
        <w:t>«</w:t>
      </w:r>
      <w:bookmarkStart w:id="0" w:name="_GoBack"/>
      <w:r w:rsidR="00AB597A" w:rsidRPr="00AB597A">
        <w:rPr>
          <w:sz w:val="48"/>
          <w:szCs w:val="48"/>
        </w:rPr>
        <w:t xml:space="preserve">Использование блоков </w:t>
      </w:r>
      <w:proofErr w:type="spellStart"/>
      <w:r w:rsidR="00AB597A" w:rsidRPr="00AB597A">
        <w:rPr>
          <w:sz w:val="48"/>
          <w:szCs w:val="48"/>
        </w:rPr>
        <w:t>Дьенеша</w:t>
      </w:r>
      <w:proofErr w:type="spellEnd"/>
      <w:r w:rsidR="00AB597A" w:rsidRPr="00AB597A">
        <w:rPr>
          <w:sz w:val="48"/>
          <w:szCs w:val="48"/>
        </w:rPr>
        <w:t xml:space="preserve"> и палочек </w:t>
      </w:r>
      <w:proofErr w:type="spellStart"/>
      <w:r w:rsidR="00AB597A" w:rsidRPr="00AB597A">
        <w:rPr>
          <w:sz w:val="48"/>
          <w:szCs w:val="48"/>
        </w:rPr>
        <w:t>Кюизенера</w:t>
      </w:r>
      <w:proofErr w:type="spellEnd"/>
      <w:r w:rsidR="00AB597A" w:rsidRPr="00AB597A">
        <w:rPr>
          <w:sz w:val="48"/>
          <w:szCs w:val="48"/>
        </w:rPr>
        <w:t xml:space="preserve"> для математического развития детей</w:t>
      </w:r>
      <w:bookmarkEnd w:id="0"/>
      <w:r w:rsidR="00AB597A" w:rsidRPr="00AB597A">
        <w:rPr>
          <w:sz w:val="48"/>
          <w:szCs w:val="48"/>
        </w:rPr>
        <w:t>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</w:t>
      </w:r>
      <w:r w:rsidR="00AB597A">
        <w:rPr>
          <w:b/>
          <w:sz w:val="32"/>
          <w:szCs w:val="32"/>
        </w:rPr>
        <w:t>дефектолог</w:t>
      </w:r>
    </w:p>
    <w:p w:rsidR="0099551D" w:rsidRPr="008050C3" w:rsidRDefault="00AB597A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Коциба</w:t>
      </w:r>
      <w:proofErr w:type="spellEnd"/>
      <w:r w:rsidR="0099551D" w:rsidRPr="008050C3">
        <w:rPr>
          <w:b/>
          <w:sz w:val="32"/>
          <w:szCs w:val="32"/>
        </w:rPr>
        <w:t xml:space="preserve"> </w:t>
      </w:r>
    </w:p>
    <w:p w:rsidR="0099551D" w:rsidRDefault="00AB597A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Ольга Альбертовна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lastRenderedPageBreak/>
        <w:t xml:space="preserve">Обучение — сложный и длительный процесс, споры о том, когда его начинать, ведутся уже многие десятилетия. Некоторые родители считают, что не стоит торопиться и «лишать детей детства», другие же убеждены, что раннее интеллектуальное развитие ребёнка — гарантия его успешности в будущем. И компромиссом можно считать игровую форму обучения, когда малыш как бы развлекается, но получает при этом какие-то знания. Самыми элементарными можно считать навыки счёта, учить которому удобно и легко по пособию «Палочки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>». Рассмотрим особенности этой методики.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Бельгийский педагог Джордж </w:t>
      </w:r>
      <w:proofErr w:type="spellStart"/>
      <w:r w:rsidRPr="00AB597A">
        <w:rPr>
          <w:color w:val="111111"/>
          <w:sz w:val="28"/>
          <w:szCs w:val="28"/>
        </w:rPr>
        <w:t>Кюизенер</w:t>
      </w:r>
      <w:proofErr w:type="spellEnd"/>
      <w:r w:rsidRPr="00AB597A">
        <w:rPr>
          <w:color w:val="111111"/>
          <w:sz w:val="28"/>
          <w:szCs w:val="28"/>
        </w:rPr>
        <w:t xml:space="preserve"> – автор уникальной методики раннего развития детей, практически всю свою жизнь проработавший в школе. Работа простым учителем в начальных классах позволила </w:t>
      </w:r>
      <w:proofErr w:type="spellStart"/>
      <w:r w:rsidRPr="00AB597A">
        <w:rPr>
          <w:color w:val="111111"/>
          <w:sz w:val="28"/>
          <w:szCs w:val="28"/>
        </w:rPr>
        <w:t>Кюизенеру</w:t>
      </w:r>
      <w:proofErr w:type="spellEnd"/>
      <w:r w:rsidRPr="00AB597A">
        <w:rPr>
          <w:color w:val="111111"/>
          <w:sz w:val="28"/>
          <w:szCs w:val="28"/>
        </w:rPr>
        <w:t xml:space="preserve"> применять на практике различные методики и обучающие программы, сравнивать их и «брать на вооружение» наиболее действенные и эффективные. Некоторые методики он доработал, опираясь на собственный опыт, и подробно описал получившийся результат в своих практических рекомендациях по обучению детей музыке, географии, искусству и биологии.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Знаменитые сегодня на весь мир цветные деревянные 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также являются результатом тщательной доработки. Используя при обучении детей математике методику своего немецкого коллеги Фридриха </w:t>
      </w:r>
      <w:proofErr w:type="spellStart"/>
      <w:r w:rsidRPr="00AB597A">
        <w:rPr>
          <w:color w:val="111111"/>
          <w:sz w:val="28"/>
          <w:szCs w:val="28"/>
        </w:rPr>
        <w:t>Фребеля</w:t>
      </w:r>
      <w:proofErr w:type="spellEnd"/>
      <w:r w:rsidRPr="00AB597A">
        <w:rPr>
          <w:color w:val="111111"/>
          <w:sz w:val="28"/>
          <w:szCs w:val="28"/>
        </w:rPr>
        <w:t xml:space="preserve">, </w:t>
      </w:r>
      <w:proofErr w:type="spellStart"/>
      <w:r w:rsidRPr="00AB597A">
        <w:rPr>
          <w:color w:val="111111"/>
          <w:sz w:val="28"/>
          <w:szCs w:val="28"/>
        </w:rPr>
        <w:t>Кюизенер</w:t>
      </w:r>
      <w:proofErr w:type="spellEnd"/>
      <w:r w:rsidRPr="00AB597A">
        <w:rPr>
          <w:color w:val="111111"/>
          <w:sz w:val="28"/>
          <w:szCs w:val="28"/>
        </w:rPr>
        <w:t xml:space="preserve"> отметил заинтересованность детей и, как следствие, высокую эффективность данной методики. Наработки </w:t>
      </w:r>
      <w:proofErr w:type="spellStart"/>
      <w:r w:rsidRPr="00AB597A">
        <w:rPr>
          <w:color w:val="111111"/>
          <w:sz w:val="28"/>
          <w:szCs w:val="28"/>
        </w:rPr>
        <w:t>Фребеля</w:t>
      </w:r>
      <w:proofErr w:type="spellEnd"/>
      <w:r w:rsidRPr="00AB597A">
        <w:rPr>
          <w:color w:val="111111"/>
          <w:sz w:val="28"/>
          <w:szCs w:val="28"/>
        </w:rPr>
        <w:t xml:space="preserve"> и легли в основу авторской методики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>, которая получила название "Цветные числа".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— комплект разноцветных палочек разного размера, с помощью которых у детей развиваются представления о числе, основы счета, умение измерять предметы. Дошкольники быстрее запоминают состав чисел, понимают сущность арифметических действий.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Основные особенности этого дидактического материала - абстрактность, универсальность, высокая эффективность.</w:t>
      </w:r>
    </w:p>
    <w:p w:rsidR="00AB597A" w:rsidRPr="00AB597A" w:rsidRDefault="00AB597A" w:rsidP="00AB597A">
      <w:pPr>
        <w:pStyle w:val="aa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Количество счетных палочек в наборе. 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Есть разные по величине комплекты. В самом простом 116 штук, но предпочтительнее покупать те, в которых материала побольше. К примеру, в классическом комплекте счетного пособия их 241. Это существенно расширит </w:t>
      </w:r>
      <w:r w:rsidRPr="00AB597A">
        <w:rPr>
          <w:color w:val="111111"/>
          <w:sz w:val="28"/>
          <w:szCs w:val="28"/>
        </w:rPr>
        <w:lastRenderedPageBreak/>
        <w:t xml:space="preserve">перечень игр и задач, которые вы сможете предложить ребенку. Количество каждого цвета в наборе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из 116 брусков: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белые – 25;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розовые – 20;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голубые – 16;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красные – 12;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желтые – 10;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фиолетовые – 9;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черные – 8;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бордовые – 7;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синие – 5;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оранжевые – 4.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От элементарной игры с цветными палочками дети постепенно переходят к пониманию пространственных и количественных характеристик.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Основные особенности этого дидактического материала - абстрактность, универсальность, высокая эффективность.</w:t>
      </w:r>
    </w:p>
    <w:p w:rsidR="00AB597A" w:rsidRPr="00AB597A" w:rsidRDefault="00AB597A" w:rsidP="00AB597A">
      <w:pPr>
        <w:pStyle w:val="aa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>Задачи, которые решают цветные палочки: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1. Познакомить с понятием цвета (различать цвет, классифицировать по цвету).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2. Познакомить с понятием величины, длины, высоты, ширины (упражнять в сравнении предметов).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3. Познакомить детей с последовательностью чисел натурального ряда.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4. Осваивать прямой и обратный счет.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5. Познакомить с составом числа (из единиц и двух меньших чисел).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lastRenderedPageBreak/>
        <w:t>6. Усвоить отношения между числами (больше - меньше, пользоваться знаками сравнения&gt;, &lt;.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7. Помочь овладеть арифметическими действиями сложения, вычитания, умножения и деления.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8. Научить делить целое на части и измерять объемы.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9. Развивать творческие способности, воображение, фантазию, способность к моделированию и конструированию.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10. Познакомить со свойствами геометрических фигур.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11. Развивать пространственные представления (слева, справа, выше, ниже и т. д.).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12. Развивать логическое мышление, внимание, память.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13. Воспитывать самостоятельность, инициативу, настойчивость в достижении цели.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вначале используются как игровой материал. Дети играют с ними, как с обыкновенными кубиками и палочками, создают различные конфигурации. Их привлекают конкретные образы, а также качественные характеристики материала - цвет, размер, форма. Однако, уже во время игры с палочками дети открывают некоторые отношения: одинаковость длины палочек, одинаковость сечения и др. На это этапе можно проводить следующие игры: «Заборчик», «Зоопарк», «Жмурки», «Построим мост», «Покажи такую же», «Назови цвет».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В ходе этих игр детей учат различать цвета, сравнивать палочки по цвету, по длине, расположению (т. е. формируют такие понятия как «разные», «одинаковые», «короче», «больше», «меньше», «левее», «правее», «между» и т. д.)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Примечательно, что Джорджу </w:t>
      </w:r>
      <w:proofErr w:type="spellStart"/>
      <w:r w:rsidRPr="00AB597A">
        <w:rPr>
          <w:color w:val="111111"/>
          <w:sz w:val="28"/>
          <w:szCs w:val="28"/>
        </w:rPr>
        <w:t>Кюизенеру</w:t>
      </w:r>
      <w:proofErr w:type="spellEnd"/>
      <w:r w:rsidRPr="00AB597A">
        <w:rPr>
          <w:color w:val="111111"/>
          <w:sz w:val="28"/>
          <w:szCs w:val="28"/>
        </w:rPr>
        <w:t xml:space="preserve"> удалось создать многофункциональный дидактический материал, позволяющий не только учить детей математике, но и оказывающий положительное влияние на развитие мелкой моторики, памяти, внимания, усидчивости, наглядно-действенного мышления, фантазии, конструкторских и комбинаторных </w:t>
      </w:r>
      <w:r w:rsidRPr="00AB597A">
        <w:rPr>
          <w:color w:val="111111"/>
          <w:sz w:val="28"/>
          <w:szCs w:val="28"/>
        </w:rPr>
        <w:lastRenderedPageBreak/>
        <w:t xml:space="preserve">способностей. При этом 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можно использовать и как самостоятельный обучающий инструмент, и как дополнительный материал к основной методике раннего развития.</w:t>
      </w:r>
    </w:p>
    <w:p w:rsidR="00AB597A" w:rsidRPr="00AB597A" w:rsidRDefault="00AB597A" w:rsidP="00AB597A">
      <w:pPr>
        <w:pStyle w:val="aa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Логические блоки </w:t>
      </w:r>
      <w:proofErr w:type="spellStart"/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proofErr w:type="spellStart"/>
      <w:r w:rsidRPr="00AB597A">
        <w:rPr>
          <w:color w:val="111111"/>
          <w:sz w:val="28"/>
          <w:szCs w:val="28"/>
        </w:rPr>
        <w:t>Золтан</w:t>
      </w:r>
      <w:proofErr w:type="spellEnd"/>
      <w:r w:rsidRPr="00AB597A">
        <w:rPr>
          <w:color w:val="111111"/>
          <w:sz w:val="28"/>
          <w:szCs w:val="28"/>
        </w:rPr>
        <w:t xml:space="preserve"> </w:t>
      </w:r>
      <w:proofErr w:type="spellStart"/>
      <w:r w:rsidRPr="00AB597A">
        <w:rPr>
          <w:color w:val="111111"/>
          <w:sz w:val="28"/>
          <w:szCs w:val="28"/>
        </w:rPr>
        <w:t>Дьенеш</w:t>
      </w:r>
      <w:proofErr w:type="spellEnd"/>
      <w:r w:rsidRPr="00AB597A">
        <w:rPr>
          <w:color w:val="111111"/>
          <w:sz w:val="28"/>
          <w:szCs w:val="28"/>
        </w:rPr>
        <w:t xml:space="preserve"> – это знаменитый венгерский математик, психолог и педагог, который изменил стандартное понятие о том, что математика является не интересной наукой и далекой от творчества. Методика </w:t>
      </w:r>
      <w:proofErr w:type="spellStart"/>
      <w:r w:rsidRPr="00AB597A">
        <w:rPr>
          <w:color w:val="111111"/>
          <w:sz w:val="28"/>
          <w:szCs w:val="28"/>
        </w:rPr>
        <w:t>Дьенеша</w:t>
      </w:r>
      <w:proofErr w:type="spellEnd"/>
      <w:r w:rsidRPr="00AB597A">
        <w:rPr>
          <w:color w:val="111111"/>
          <w:sz w:val="28"/>
          <w:szCs w:val="28"/>
        </w:rPr>
        <w:t xml:space="preserve"> помогает детям дошкольного и старшего возраста в игровой форме освоить различные математические понятия, а также развить важные для малышей психологические процессы. 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proofErr w:type="spellStart"/>
      <w:r w:rsidRPr="00AB597A">
        <w:rPr>
          <w:color w:val="111111"/>
          <w:sz w:val="28"/>
          <w:szCs w:val="28"/>
        </w:rPr>
        <w:t>Золтан</w:t>
      </w:r>
      <w:proofErr w:type="spellEnd"/>
      <w:r w:rsidRPr="00AB597A">
        <w:rPr>
          <w:color w:val="111111"/>
          <w:sz w:val="28"/>
          <w:szCs w:val="28"/>
        </w:rPr>
        <w:t xml:space="preserve"> </w:t>
      </w:r>
      <w:proofErr w:type="spellStart"/>
      <w:r w:rsidRPr="00AB597A">
        <w:rPr>
          <w:color w:val="111111"/>
          <w:sz w:val="28"/>
          <w:szCs w:val="28"/>
        </w:rPr>
        <w:t>Дьенеш</w:t>
      </w:r>
      <w:proofErr w:type="spellEnd"/>
      <w:r w:rsidRPr="00AB597A">
        <w:rPr>
          <w:color w:val="111111"/>
          <w:sz w:val="28"/>
          <w:szCs w:val="28"/>
        </w:rPr>
        <w:t xml:space="preserve">, основываясь на личный богатый педагогический опыт и результаты исследований в сфере психологии, разработал теорию шести этапов изучения математики и создал эффективные наглядные материалы в виде логических блоков и игровых пособий. Система </w:t>
      </w:r>
      <w:proofErr w:type="spellStart"/>
      <w:r w:rsidRPr="00AB597A">
        <w:rPr>
          <w:color w:val="111111"/>
          <w:sz w:val="28"/>
          <w:szCs w:val="28"/>
        </w:rPr>
        <w:t>Дьенеша</w:t>
      </w:r>
      <w:proofErr w:type="spellEnd"/>
      <w:r w:rsidRPr="00AB597A">
        <w:rPr>
          <w:color w:val="111111"/>
          <w:sz w:val="28"/>
          <w:szCs w:val="28"/>
        </w:rPr>
        <w:t xml:space="preserve"> помогает родителям и педагогам активно развивать интеллектуальные и творческие задатки малышей.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Для развития логических, комбинаторных, аналитических способностей детей </w:t>
      </w:r>
      <w:proofErr w:type="spellStart"/>
      <w:r w:rsidRPr="00AB597A">
        <w:rPr>
          <w:color w:val="111111"/>
          <w:sz w:val="28"/>
          <w:szCs w:val="28"/>
        </w:rPr>
        <w:t>Дьенеш</w:t>
      </w:r>
      <w:proofErr w:type="spellEnd"/>
      <w:r w:rsidRPr="00AB597A">
        <w:rPr>
          <w:color w:val="111111"/>
          <w:sz w:val="28"/>
          <w:szCs w:val="28"/>
        </w:rPr>
        <w:t xml:space="preserve"> разработал различные увлекательные логические игры. В своих занятиях он использовал специальные блоки, которые называл «логическими». При помощи их ребёнок мог научиться кодировке (классификации) определённой информации, ребёнок учится разделять блоки по свойствам (цвет, размер, форма, толщина, запоминать и обобщать.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Кроме того, занятия и игры с использованием блоков влияют на развитие детской речи, поскольку во время занятий детям приходится произносить названия геометрических фигур, отвечать на вопросы и выражать свои мысли.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Разработанные в 1960-х годах, блоки </w:t>
      </w:r>
      <w:proofErr w:type="spellStart"/>
      <w:r w:rsidRPr="00AB597A">
        <w:rPr>
          <w:color w:val="111111"/>
          <w:sz w:val="28"/>
          <w:szCs w:val="28"/>
        </w:rPr>
        <w:t>Дьенеша</w:t>
      </w:r>
      <w:proofErr w:type="spellEnd"/>
      <w:r w:rsidRPr="00AB597A">
        <w:rPr>
          <w:color w:val="111111"/>
          <w:sz w:val="28"/>
          <w:szCs w:val="28"/>
        </w:rPr>
        <w:t xml:space="preserve"> популярны во многих странах и применяются до сих пор в различных вариантах исполнения (объёмные, плоскостные) для развития детей и подготовки к школе. Наряду с ними, в систему игровых упражнений для развития элементарных математических представлений у детей дошкольного возраста включаются и другие аналоги: палочки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, игры </w:t>
      </w:r>
      <w:proofErr w:type="spellStart"/>
      <w:r w:rsidRPr="00AB597A">
        <w:rPr>
          <w:color w:val="111111"/>
          <w:sz w:val="28"/>
          <w:szCs w:val="28"/>
        </w:rPr>
        <w:t>Воскобовича</w:t>
      </w:r>
      <w:proofErr w:type="spellEnd"/>
      <w:r w:rsidRPr="00AB597A">
        <w:rPr>
          <w:color w:val="111111"/>
          <w:sz w:val="28"/>
          <w:szCs w:val="28"/>
        </w:rPr>
        <w:t xml:space="preserve"> и другие игры.</w:t>
      </w:r>
    </w:p>
    <w:p w:rsidR="00AB597A" w:rsidRPr="00AB597A" w:rsidRDefault="00AB597A" w:rsidP="00AB597A">
      <w:pPr>
        <w:pStyle w:val="aa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Работа с блоками </w:t>
      </w:r>
      <w:proofErr w:type="spellStart"/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AB597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позволяет решать комплекс задач: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1. Развивать логическое мышление. Развивать представление о множестве, операции над множествами (сравнение, классификация, абстрагирование). Формировать представления о математических понятиях (алгоритм, кодирование и декодирование информации, кодирование со знаком отрицания).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2. Развивать умение выявлять свойства в объектах, называть их, объяснять сходства и различия объектов, обосновывать свои рассуждения. 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3. Познакомить с формой, цветом, толщиной, размером объектов.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4. Развивать пространственные представления. 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5. Развивать познавательные процессы, мыслительные операции.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6. Развивать творческие способности, воображение, фантазию, способности к моделированию и конструированию.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7. Развивать психические функции, связанные с речевой деятельностью.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>Комплект логических блоков дает возможность вести детей в их развитии от оперирования одним свойством предметов к оперированию двумя, тремя, и четырьмя свойствами. Для работы с детьми на протяжении всего дошкольного детства, помимо объемных наборов, потребуются несколько плоских наборов логических фигур.</w:t>
      </w:r>
    </w:p>
    <w:p w:rsidR="00AB597A" w:rsidRPr="00AB597A" w:rsidRDefault="00AB597A" w:rsidP="00AB597A">
      <w:pPr>
        <w:pStyle w:val="aa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AB597A">
        <w:rPr>
          <w:color w:val="111111"/>
          <w:sz w:val="28"/>
          <w:szCs w:val="28"/>
        </w:rPr>
        <w:t xml:space="preserve">Использование палочек </w:t>
      </w:r>
      <w:proofErr w:type="spellStart"/>
      <w:r w:rsidRPr="00AB597A">
        <w:rPr>
          <w:color w:val="111111"/>
          <w:sz w:val="28"/>
          <w:szCs w:val="28"/>
        </w:rPr>
        <w:t>Кюизенера</w:t>
      </w:r>
      <w:proofErr w:type="spellEnd"/>
      <w:r w:rsidRPr="00AB597A">
        <w:rPr>
          <w:color w:val="111111"/>
          <w:sz w:val="28"/>
          <w:szCs w:val="28"/>
        </w:rPr>
        <w:t xml:space="preserve"> и логических блоков </w:t>
      </w:r>
      <w:proofErr w:type="spellStart"/>
      <w:r w:rsidRPr="00AB597A">
        <w:rPr>
          <w:color w:val="111111"/>
          <w:sz w:val="28"/>
          <w:szCs w:val="28"/>
        </w:rPr>
        <w:t>Дьенеша</w:t>
      </w:r>
      <w:proofErr w:type="spellEnd"/>
      <w:r w:rsidRPr="00AB597A">
        <w:rPr>
          <w:color w:val="111111"/>
          <w:sz w:val="28"/>
          <w:szCs w:val="28"/>
        </w:rPr>
        <w:t xml:space="preserve"> позволяют педагогу решить задачу чрезвычайной важности: развивать умственные способности детей, логическое мышление, умение рассуждать, отстаивать свое мнение, развивать способность к моделированию и работе со схемами. Важно, чтобы педагог осуществлял творческий подход к работе.</w:t>
      </w:r>
    </w:p>
    <w:p w:rsidR="0099551D" w:rsidRPr="00AB597A" w:rsidRDefault="0099551D" w:rsidP="00AB597A">
      <w:pPr>
        <w:spacing w:after="0"/>
        <w:ind w:right="-1" w:firstLine="709"/>
        <w:rPr>
          <w:rFonts w:cs="Times New Roman"/>
          <w:b/>
          <w:szCs w:val="28"/>
        </w:rPr>
      </w:pPr>
    </w:p>
    <w:sectPr w:rsidR="0099551D" w:rsidRPr="00AB597A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1D"/>
    <w:rsid w:val="000D1447"/>
    <w:rsid w:val="0025763B"/>
    <w:rsid w:val="002B6E40"/>
    <w:rsid w:val="00325B9E"/>
    <w:rsid w:val="003A32C9"/>
    <w:rsid w:val="005A3FD4"/>
    <w:rsid w:val="006C3E3C"/>
    <w:rsid w:val="00710D53"/>
    <w:rsid w:val="00975E03"/>
    <w:rsid w:val="0099551D"/>
    <w:rsid w:val="00A91E7B"/>
    <w:rsid w:val="00AA3503"/>
    <w:rsid w:val="00AB597A"/>
    <w:rsid w:val="00B73315"/>
    <w:rsid w:val="00C67968"/>
    <w:rsid w:val="00C74E49"/>
    <w:rsid w:val="00D6503C"/>
    <w:rsid w:val="00F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30A23-9153-4EA8-920B-B4A7360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1D"/>
    <w:pPr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uiPriority w:val="22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B597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S5QAU4VNKZPS-233-10</_dlc_DocId>
    <_dlc_DocIdUrl xmlns="6434c500-c195-4837-b047-5e71706d4cb2">
      <Url>http://www.eduportal44.ru/Buy/Elektron/_layouts/15/DocIdRedir.aspx?ID=S5QAU4VNKZPS-233-10</Url>
      <Description>S5QAU4VNKZPS-233-10</Description>
    </_dlc_DocIdUrl>
  </documentManagement>
</p:properties>
</file>

<file path=customXml/itemProps1.xml><?xml version="1.0" encoding="utf-8"?>
<ds:datastoreItem xmlns:ds="http://schemas.openxmlformats.org/officeDocument/2006/customXml" ds:itemID="{56882C01-2AA9-4B38-9B0C-D7C75658F578}"/>
</file>

<file path=customXml/itemProps2.xml><?xml version="1.0" encoding="utf-8"?>
<ds:datastoreItem xmlns:ds="http://schemas.openxmlformats.org/officeDocument/2006/customXml" ds:itemID="{CD6780BF-56A6-4254-98A4-47756B266A12}"/>
</file>

<file path=customXml/itemProps3.xml><?xml version="1.0" encoding="utf-8"?>
<ds:datastoreItem xmlns:ds="http://schemas.openxmlformats.org/officeDocument/2006/customXml" ds:itemID="{99C0038E-DE7B-4D2C-AF6E-A9A73EFBB03E}"/>
</file>

<file path=customXml/itemProps4.xml><?xml version="1.0" encoding="utf-8"?>
<ds:datastoreItem xmlns:ds="http://schemas.openxmlformats.org/officeDocument/2006/customXml" ds:itemID="{02D56111-8DED-468E-882C-EF1774C4F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2019-03-14T20:11:00Z</dcterms:created>
  <dcterms:modified xsi:type="dcterms:W3CDTF">2019-03-31T17:45:00Z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e0169c7f-6f97-41ef-9531-3a2c25bacf56</vt:lpwstr>
  </property>
</Properties>
</file>