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S5QAU4VNKZPS-274-23</_dlc_DocId>
    <_dlc_DocIdUrl xmlns="6434c500-c195-4837-b047-5e71706d4cb2">
      <Url>http://www.eduportal44.ru/Buy/Elektron/_layouts/15/DocIdRedir.aspx?ID=S5QAU4VNKZPS-274-23</Url>
      <Description>S5QAU4VNKZPS-274-23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9C5F2CBD3E4395D40D453ECE2217" ma:contentTypeVersion="2" ma:contentTypeDescription="Создание документа." ma:contentTypeScope="" ma:versionID="b9768dc736b45df5e3ef1e800ca3af3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506558B5-FB6C-4DBC-9F00-651E0D634F74}"/>
</file>

<file path=customXml/itemProps4.xml><?xml version="1.0" encoding="utf-8"?>
<ds:datastoreItem xmlns:ds="http://schemas.openxmlformats.org/officeDocument/2006/customXml" ds:itemID="{CF7B4477-8326-46F6-B6A5-896992D98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0x01010061DD9C5F2CBD3E4395D40D453ECE2217</vt:lpwstr>
  </property>
  <property fmtid="{D5CDD505-2E9C-101B-9397-08002B2CF9AE}" pid="3" name="_dlc_DocIdItemGuid">
    <vt:lpwstr>a23e6c7c-cd1d-4750-817e-e491dbb238d3</vt:lpwstr>
  </property>
</Properties>
</file>