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564633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lastRenderedPageBreak/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Название программы, </w:t>
            </w: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lastRenderedPageBreak/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95" w:rsidRDefault="00B52995" w:rsidP="00C13BEC">
      <w:r>
        <w:separator/>
      </w:r>
    </w:p>
  </w:endnote>
  <w:endnote w:type="continuationSeparator" w:id="0">
    <w:p w:rsidR="00B52995" w:rsidRDefault="00B52995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95" w:rsidRDefault="00B52995" w:rsidP="00C13BEC">
      <w:r>
        <w:separator/>
      </w:r>
    </w:p>
  </w:footnote>
  <w:footnote w:type="continuationSeparator" w:id="0">
    <w:p w:rsidR="00B52995" w:rsidRDefault="00B52995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1E40F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922C5"/>
    <w:rsid w:val="004C06F9"/>
    <w:rsid w:val="004D4741"/>
    <w:rsid w:val="004E693D"/>
    <w:rsid w:val="00513537"/>
    <w:rsid w:val="00532655"/>
    <w:rsid w:val="00564633"/>
    <w:rsid w:val="00597570"/>
    <w:rsid w:val="005D36FC"/>
    <w:rsid w:val="005E10B3"/>
    <w:rsid w:val="006112B5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52995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S5QAU4VNKZPS-274-27</_dlc_DocId>
    <_dlc_DocIdUrl xmlns="6434c500-c195-4837-b047-5e71706d4cb2">
      <Url>http://www.eduportal44.ru/Buy/Elektron/_layouts/15/DocIdRedir.aspx?ID=S5QAU4VNKZPS-274-27</Url>
      <Description>S5QAU4VNKZPS-274-27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3A138-57A4-4C50-9764-8A66CD76B2D3}"/>
</file>

<file path=customXml/itemProps2.xml><?xml version="1.0" encoding="utf-8"?>
<ds:datastoreItem xmlns:ds="http://schemas.openxmlformats.org/officeDocument/2006/customXml" ds:itemID="{1C0F332B-E5A6-4377-9804-98D0767FADF1}"/>
</file>

<file path=customXml/itemProps3.xml><?xml version="1.0" encoding="utf-8"?>
<ds:datastoreItem xmlns:ds="http://schemas.openxmlformats.org/officeDocument/2006/customXml" ds:itemID="{49B24499-8A0F-452F-BE3B-8162C9E7E744}"/>
</file>

<file path=customXml/itemProps4.xml><?xml version="1.0" encoding="utf-8"?>
<ds:datastoreItem xmlns:ds="http://schemas.openxmlformats.org/officeDocument/2006/customXml" ds:itemID="{0BA62704-E74E-48E0-95C4-E49B25850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2015-06-22T22:06:00Z</dcterms:created>
  <dcterms:modified xsi:type="dcterms:W3CDTF">2015-09-29T18:12:00Z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9c7a6d9c-098c-482a-b3bf-4343f0ceabdc</vt:lpwstr>
  </property>
</Properties>
</file>