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341B8E504F7A9D4CAA7D8A5028A72EC9" ma:contentTypeVersion="2" ma:contentTypeDescription="Создание вики-страницы." ma:contentTypeScope="" ma:versionID="5e56c85eec9be4bb2ca8c684cdc40114">
  <xsd:schema xmlns:xsd="http://www.w3.org/2001/XMLSchema" xmlns:xs="http://www.w3.org/2001/XMLSchema" xmlns:p="http://schemas.microsoft.com/office/2006/metadata/properties" xmlns:ns1="http://schemas.microsoft.com/sharepoint/v3" xmlns:ns2="abdb83d0-779d-445a-a542-78c4e7e32ea9" targetNamespace="http://schemas.microsoft.com/office/2006/metadata/properties" ma:root="true" ma:fieldsID="0b031eea38df3382710540d7da5e7b49" ns1:_="" ns2:_="">
    <xsd:import namespace="http://schemas.microsoft.com/sharepoint/v3"/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abdb83d0-779d-445a-a542-78c4e7e32ea9">UX25FU4DC2SS-307-6</_dlc_DocId>
    <_dlc_DocIdUrl xmlns="abdb83d0-779d-445a-a542-78c4e7e32ea9">
      <Url>https://www.eduportal44.ru/soligalich/shablon/_layouts/15/DocIdRedir.aspx?ID=UX25FU4DC2SS-307-6</Url>
      <Description>UX25FU4DC2SS-307-6</Description>
    </_dlc_DocIdUrl>
  </documentManagement>
</p:properties>
</file>

<file path=customXml/itemProps1.xml><?xml version="1.0" encoding="utf-8"?>
<ds:datastoreItem xmlns:ds="http://schemas.openxmlformats.org/officeDocument/2006/customXml" ds:itemID="{5B15F572-4A50-44DE-98AC-9DB7D407F1C0}"/>
</file>

<file path=customXml/itemProps2.xml><?xml version="1.0" encoding="utf-8"?>
<ds:datastoreItem xmlns:ds="http://schemas.openxmlformats.org/officeDocument/2006/customXml" ds:itemID="{0B29EF6C-F748-4F3C-ACEB-C88483E1E4E5}"/>
</file>

<file path=customXml/itemProps3.xml><?xml version="1.0" encoding="utf-8"?>
<ds:datastoreItem xmlns:ds="http://schemas.openxmlformats.org/officeDocument/2006/customXml" ds:itemID="{05AFE280-0ACC-4014-8209-AB4080293854}"/>
</file>

<file path=customXml/itemProps4.xml><?xml version="1.0" encoding="utf-8"?>
<ds:datastoreItem xmlns:ds="http://schemas.openxmlformats.org/officeDocument/2006/customXml" ds:itemID="{0DB7D603-DB8F-412A-AE11-624D251DDCB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0x01010800341B8E504F7A9D4CAA7D8A5028A72EC9</vt:lpwstr>
  </property>
  <property fmtid="{D5CDD505-2E9C-101B-9397-08002B2CF9AE}" pid="3" name="_dlc_DocIdItemGuid">
    <vt:lpwstr>147415b2-3ad8-409e-8ae0-a218ca56ede8</vt:lpwstr>
  </property>
</Properties>
</file>