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8FD" w:rsidRPr="00AC38FD" w:rsidRDefault="00AC38FD" w:rsidP="00AC38FD">
      <w:pPr>
        <w:pStyle w:val="Default"/>
        <w:jc w:val="center"/>
        <w:rPr>
          <w:b/>
          <w:caps/>
          <w:color w:val="0070C0"/>
          <w:sz w:val="48"/>
          <w:szCs w:val="72"/>
        </w:rPr>
      </w:pPr>
      <w:r w:rsidRPr="00AC38FD">
        <w:rPr>
          <w:b/>
          <w:caps/>
          <w:color w:val="0070C0"/>
          <w:sz w:val="48"/>
          <w:szCs w:val="72"/>
        </w:rPr>
        <w:t>Карта профессиональных достоинств</w:t>
      </w:r>
    </w:p>
    <w:p w:rsidR="00AC38FD" w:rsidRPr="00AC38FD" w:rsidRDefault="00AC38FD" w:rsidP="00AC38FD">
      <w:pPr>
        <w:pStyle w:val="Default"/>
        <w:jc w:val="center"/>
        <w:rPr>
          <w:b/>
          <w:caps/>
          <w:color w:val="0070C0"/>
          <w:sz w:val="48"/>
          <w:szCs w:val="72"/>
        </w:rPr>
      </w:pPr>
      <w:r w:rsidRPr="00AC38FD">
        <w:rPr>
          <w:b/>
          <w:caps/>
          <w:color w:val="0070C0"/>
          <w:sz w:val="48"/>
          <w:szCs w:val="72"/>
        </w:rPr>
        <w:t xml:space="preserve"> глазами наставляемого</w:t>
      </w:r>
    </w:p>
    <w:p w:rsidR="004C6F8E" w:rsidRDefault="0064060B">
      <w:r w:rsidRPr="0064060B">
        <w:rPr>
          <w:b/>
          <w:outline/>
          <w:noProof/>
          <w:color w:val="548DD4" w:themeColor="text2" w:themeTint="99"/>
          <w:sz w:val="48"/>
          <w:szCs w:val="72"/>
          <w:lang w:eastAsia="ru-RU"/>
        </w:rPr>
        <w:pict>
          <v:group id="_x0000_s1039" style="position:absolute;margin-left:-8.7pt;margin-top:35.85pt;width:754.5pt;height:441.6pt;z-index:251678720" coordorigin="657,492" coordsize="15393,1003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8" type="#_x0000_t136" style="position:absolute;left:5697;top:6717;width:5373;height:681" o:regroupid="1" fillcolor="#06c" strokecolor="#9cf" strokeweight="1.5pt">
              <v:shadow on="t" color="#900"/>
              <v:textpath style="font-family:&quot;Impact&quot;;v-text-kern:t" trim="t" fitpath="t" string="наставник&#10;"/>
            </v:shape>
            <v:shapetype id="_x0000_t63" coordsize="21600,21600" o:spt="63" adj="1350,25920" path="wr,,21600,21600@15@16@17@18l@21@22xe">
              <v:stroke joinstyle="miter"/>
              <v:formulas>
                <v:f eqn="val #0"/>
                <v:f eqn="val #1"/>
                <v:f eqn="sum 10800 0 #0"/>
                <v:f eqn="sum 10800 0 #1"/>
                <v:f eqn="atan2 @2 @3"/>
                <v:f eqn="sumangle @4 11 0"/>
                <v:f eqn="sumangle @4 0 11"/>
                <v:f eqn="cos 10800 @4"/>
                <v:f eqn="sin 10800 @4"/>
                <v:f eqn="cos 10800 @5"/>
                <v:f eqn="sin 10800 @5"/>
                <v:f eqn="cos 10800 @6"/>
                <v:f eqn="sin 10800 @6"/>
                <v:f eqn="sum 10800 0 @7"/>
                <v:f eqn="sum 10800 0 @8"/>
                <v:f eqn="sum 10800 0 @9"/>
                <v:f eqn="sum 10800 0 @10"/>
                <v:f eqn="sum 10800 0 @11"/>
                <v:f eqn="sum 10800 0 @12"/>
                <v:f eqn="mod @2 @3 0"/>
                <v:f eqn="sum @19 0 10800"/>
                <v:f eqn="if @20 #0 @13"/>
                <v:f eqn="if @20 #1 @14"/>
              </v:formulas>
              <v:path o:connecttype="custom" o:connectlocs="10800,0;3163,3163;0,10800;3163,18437;10800,21600;18437,18437;21600,10800;18437,3163;@21,@22" textboxrect="3163,3163,18437,18437"/>
              <v:handles>
                <v:h position="#0,#1"/>
              </v:handles>
            </v:shapetype>
            <v:shape id="_x0000_s1030" type="#_x0000_t63" style="position:absolute;left:9855;top:522;width:5175;height:1275" adj="943,28563" fillcolor="#92cddc [1944]" strokecolor="#92cddc [1944]" strokeweight="1pt">
              <v:fill color2="#daeef3 [664]" angle="-45" focus="-50%" type="gradient"/>
              <v:shadow on="t" type="perspective" color="#205867 [1608]" opacity=".5" offset="1pt" offset2="-3pt"/>
              <v:textbox style="mso-next-textbox:#_x0000_s1030">
                <w:txbxContent>
                  <w:p w:rsidR="00AC38FD" w:rsidRDefault="00AC38FD" w:rsidP="00AC38FD"/>
                </w:txbxContent>
              </v:textbox>
            </v:shape>
            <v:shape id="_x0000_s1031" type="#_x0000_t63" style="position:absolute;left:10680;top:3027;width:5175;height:1275" adj="943,28563" fillcolor="#92cddc [1944]" strokecolor="#92cddc [1944]" strokeweight="1pt">
              <v:fill color2="#daeef3 [664]" angle="-45" focus="-50%" type="gradient"/>
              <v:shadow on="t" type="perspective" color="#205867 [1608]" opacity=".5" offset="1pt" offset2="-3pt"/>
              <v:textbox style="mso-next-textbox:#_x0000_s1031">
                <w:txbxContent>
                  <w:p w:rsidR="00AC38FD" w:rsidRDefault="00AC38FD" w:rsidP="00AC38FD"/>
                </w:txbxContent>
              </v:textbox>
            </v:shape>
            <v:shape id="_x0000_s1032" type="#_x0000_t63" style="position:absolute;left:11130;top:5322;width:4920;height:1275" adj="992,28563" fillcolor="#92cddc [1944]" strokecolor="#92cddc [1944]" strokeweight="1pt">
              <v:fill color2="#daeef3 [664]" angle="-45" focus="-50%" type="gradient"/>
              <v:shadow on="t" type="perspective" color="#205867 [1608]" opacity=".5" offset="1pt" offset2="-3pt"/>
              <v:textbox style="mso-next-textbox:#_x0000_s1032">
                <w:txbxContent>
                  <w:p w:rsidR="00AC38FD" w:rsidRDefault="00AC38FD" w:rsidP="00AC38FD"/>
                </w:txbxContent>
              </v:textbox>
            </v:shape>
            <v:shape id="_x0000_s1033" type="#_x0000_t63" style="position:absolute;left:10875;top:8412;width:5175;height:1350;flip:y" adj="-1132,30112" fillcolor="#92cddc [1944]" strokecolor="#92cddc [1944]" strokeweight="1pt">
              <v:fill color2="#daeef3 [664]" angle="-45" focus="-50%" type="gradient"/>
              <v:shadow on="t" type="perspective" color="#205867 [1608]" opacity=".5" offset="1pt" offset2="-3pt"/>
              <v:textbox style="mso-next-textbox:#_x0000_s1033">
                <w:txbxContent>
                  <w:p w:rsidR="00AC38FD" w:rsidRDefault="00AC38FD" w:rsidP="00AC38FD"/>
                </w:txbxContent>
              </v:textbox>
            </v:shape>
            <v:shape id="_x0000_s1034" type="#_x0000_t63" style="position:absolute;left:1092;top:492;width:4755;height:1305;flip:x" adj="-1036,28353" fillcolor="#92cddc [1944]" strokecolor="#92cddc [1944]" strokeweight="1pt">
              <v:fill color2="#daeef3 [664]" angle="-45" focus="-50%" type="gradient"/>
              <v:shadow on="t" type="perspective" color="#205867 [1608]" opacity=".5" offset="1pt" offset2="-3pt"/>
              <v:textbox style="mso-next-textbox:#_x0000_s1034">
                <w:txbxContent>
                  <w:p w:rsidR="00AC38FD" w:rsidRDefault="00AC38FD" w:rsidP="00AC38FD"/>
                </w:txbxContent>
              </v:textbox>
            </v:shape>
            <v:shape id="_x0000_s1035" type="#_x0000_t63" style="position:absolute;left:1167;top:2637;width:4755;height:1305;flip:x" adj="-1036,28353" fillcolor="#92cddc [1944]" strokecolor="#92cddc [1944]" strokeweight="1pt">
              <v:fill color2="#daeef3 [664]" angle="-45" focus="-50%" type="gradient"/>
              <v:shadow on="t" type="perspective" color="#205867 [1608]" opacity=".5" offset="1pt" offset2="-3pt"/>
              <v:textbox style="mso-next-textbox:#_x0000_s1035">
                <w:txbxContent>
                  <w:p w:rsidR="00AC38FD" w:rsidRDefault="00AC38FD" w:rsidP="00AC38FD"/>
                </w:txbxContent>
              </v:textbox>
            </v:shape>
            <v:shape id="_x0000_s1036" type="#_x0000_t63" style="position:absolute;left:657;top:5127;width:4755;height:1305;flip:x" adj="-1036,28353" fillcolor="#92cddc [1944]" strokecolor="#92cddc [1944]" strokeweight="1pt">
              <v:fill color2="#daeef3 [664]" angle="-45" focus="-50%" type="gradient"/>
              <v:shadow on="t" type="perspective" color="#205867 [1608]" opacity=".5" offset="1pt" offset2="-3pt"/>
              <v:textbox style="mso-next-textbox:#_x0000_s1036">
                <w:txbxContent>
                  <w:p w:rsidR="00AC38FD" w:rsidRDefault="00AC38FD" w:rsidP="00AC38FD"/>
                </w:txbxContent>
              </v:textbox>
            </v:shape>
            <v:shape id="_x0000_s1037" type="#_x0000_t63" style="position:absolute;left:852;top:8097;width:4755;height:1440;flip:x y" adj="-3435,28290" fillcolor="#92cddc [1944]" strokecolor="#92cddc [1944]" strokeweight="1pt">
              <v:fill color2="#daeef3 [664]" angle="-45" focus="-50%" type="gradient"/>
              <v:shadow on="t" type="perspective" color="#205867 [1608]" opacity=".5" offset="1pt" offset2="-3pt"/>
              <v:textbox style="mso-next-textbox:#_x0000_s1037">
                <w:txbxContent>
                  <w:p w:rsidR="00AC38FD" w:rsidRDefault="00AC38FD" w:rsidP="00AC38FD"/>
                </w:txbxContent>
              </v:textbox>
            </v:shape>
            <v:shape id="_x0000_s1038" type="#_x0000_t63" style="position:absolute;left:5847;top:9132;width:4755;height:1395;flip:x" adj="10720,-21616" fillcolor="#92cddc [1944]" strokecolor="#92cddc [1944]" strokeweight="1pt">
              <v:fill color2="#daeef3 [664]" angle="-45" focus="-50%" type="gradient"/>
              <v:shadow on="t" type="perspective" color="#205867 [1608]" opacity=".5" offset="1pt" offset2="-3pt"/>
              <v:textbox style="mso-next-textbox:#_x0000_s1038">
                <w:txbxContent>
                  <w:p w:rsidR="00AC38FD" w:rsidRDefault="00AC38FD" w:rsidP="00AC38FD"/>
                </w:txbxContent>
              </v:textbox>
            </v:shape>
          </v:group>
        </w:pict>
      </w:r>
      <w:r w:rsidR="00AC38FD" w:rsidRPr="00AC38FD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3728085</wp:posOffset>
            </wp:positionH>
            <wp:positionV relativeFrom="paragraph">
              <wp:posOffset>1148715</wp:posOffset>
            </wp:positionV>
            <wp:extent cx="1819275" cy="2247900"/>
            <wp:effectExtent l="19050" t="0" r="0" b="0"/>
            <wp:wrapSquare wrapText="bothSides"/>
            <wp:docPr id="1" name="Рисунок 1" descr="http://xn----7sbbaa9ccbe0ad7a5fg.xn--p1ai/_ld/6/22393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7sbbaa9ccbe0ad7a5fg.xn--p1ai/_ld/6/223939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3600" w:rsidRDefault="002B3600"/>
    <w:p w:rsidR="002B3600" w:rsidRDefault="002B3600"/>
    <w:p w:rsidR="002B3600" w:rsidRDefault="002B3600"/>
    <w:p w:rsidR="002B3600" w:rsidRDefault="002B3600"/>
    <w:p w:rsidR="002B3600" w:rsidRDefault="002B3600"/>
    <w:p w:rsidR="002B3600" w:rsidRDefault="002B3600"/>
    <w:p w:rsidR="002B3600" w:rsidRDefault="002B3600"/>
    <w:p w:rsidR="002B3600" w:rsidRDefault="002B3600"/>
    <w:p w:rsidR="002B3600" w:rsidRDefault="002B3600"/>
    <w:p w:rsidR="002B3600" w:rsidRDefault="002B3600"/>
    <w:p w:rsidR="002B3600" w:rsidRDefault="002B3600"/>
    <w:p w:rsidR="002B3600" w:rsidRDefault="002B3600"/>
    <w:p w:rsidR="002B3600" w:rsidRDefault="002B3600"/>
    <w:p w:rsidR="002B3600" w:rsidRDefault="002B3600"/>
    <w:p w:rsidR="002B3600" w:rsidRDefault="002B3600"/>
    <w:p w:rsidR="002B3600" w:rsidRDefault="002B3600"/>
    <w:p w:rsidR="002B3600" w:rsidRDefault="002B3600"/>
    <w:p w:rsidR="002B3600" w:rsidRDefault="002B3600"/>
    <w:p w:rsidR="002B3600" w:rsidRDefault="002B3600">
      <w:pPr>
        <w:sectPr w:rsidR="002B3600" w:rsidSect="00AC38FD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:rsidR="002B3600" w:rsidRPr="002B3600" w:rsidRDefault="002B3600" w:rsidP="002B360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600">
        <w:rPr>
          <w:rFonts w:ascii="Times New Roman" w:hAnsi="Times New Roman" w:cs="Times New Roman"/>
          <w:b/>
          <w:sz w:val="28"/>
          <w:szCs w:val="28"/>
        </w:rPr>
        <w:lastRenderedPageBreak/>
        <w:t>Задание 2.</w:t>
      </w:r>
    </w:p>
    <w:p w:rsidR="002B3600" w:rsidRDefault="002B3600" w:rsidP="002B36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 время главным фактором для любого наставника является заработная плата, но мотивировать наставников к высоким результатам в работе возможно не только материально, но и другими всевозможными способами, например: </w:t>
      </w:r>
    </w:p>
    <w:tbl>
      <w:tblPr>
        <w:tblStyle w:val="a7"/>
        <w:tblW w:w="0" w:type="auto"/>
        <w:tblInd w:w="-34" w:type="dxa"/>
        <w:tblLook w:val="04A0"/>
      </w:tblPr>
      <w:tblGrid>
        <w:gridCol w:w="9464"/>
      </w:tblGrid>
      <w:tr w:rsidR="002B3600" w:rsidTr="00563DAC">
        <w:tc>
          <w:tcPr>
            <w:tcW w:w="9464" w:type="dxa"/>
          </w:tcPr>
          <w:p w:rsidR="002B3600" w:rsidRDefault="002B3600" w:rsidP="00563DAC"/>
        </w:tc>
      </w:tr>
      <w:tr w:rsidR="002B3600" w:rsidTr="00563DAC">
        <w:tc>
          <w:tcPr>
            <w:tcW w:w="9464" w:type="dxa"/>
          </w:tcPr>
          <w:p w:rsidR="002B3600" w:rsidRDefault="002B3600" w:rsidP="00563DAC"/>
        </w:tc>
      </w:tr>
      <w:tr w:rsidR="002B3600" w:rsidTr="00563DAC">
        <w:tc>
          <w:tcPr>
            <w:tcW w:w="9464" w:type="dxa"/>
          </w:tcPr>
          <w:p w:rsidR="002B3600" w:rsidRDefault="002B3600" w:rsidP="00563DAC"/>
        </w:tc>
      </w:tr>
      <w:tr w:rsidR="002B3600" w:rsidTr="00563DAC">
        <w:tc>
          <w:tcPr>
            <w:tcW w:w="9464" w:type="dxa"/>
          </w:tcPr>
          <w:p w:rsidR="002B3600" w:rsidRDefault="002B3600" w:rsidP="00563DAC"/>
        </w:tc>
      </w:tr>
      <w:tr w:rsidR="002B3600" w:rsidTr="00563DAC">
        <w:tc>
          <w:tcPr>
            <w:tcW w:w="9464" w:type="dxa"/>
          </w:tcPr>
          <w:p w:rsidR="002B3600" w:rsidRDefault="002B3600" w:rsidP="00563DAC"/>
        </w:tc>
      </w:tr>
      <w:tr w:rsidR="002B3600" w:rsidTr="00563DAC">
        <w:tc>
          <w:tcPr>
            <w:tcW w:w="9464" w:type="dxa"/>
          </w:tcPr>
          <w:p w:rsidR="002B3600" w:rsidRDefault="002B3600" w:rsidP="00563DAC"/>
        </w:tc>
      </w:tr>
      <w:tr w:rsidR="002B3600" w:rsidTr="00563DAC">
        <w:tc>
          <w:tcPr>
            <w:tcW w:w="9464" w:type="dxa"/>
          </w:tcPr>
          <w:p w:rsidR="002B3600" w:rsidRDefault="002B3600" w:rsidP="00563DAC"/>
        </w:tc>
      </w:tr>
      <w:tr w:rsidR="002B3600" w:rsidTr="00563DAC">
        <w:tc>
          <w:tcPr>
            <w:tcW w:w="9464" w:type="dxa"/>
          </w:tcPr>
          <w:p w:rsidR="002B3600" w:rsidRDefault="002B3600" w:rsidP="00563DAC"/>
        </w:tc>
      </w:tr>
      <w:tr w:rsidR="002B3600" w:rsidTr="00563DAC">
        <w:tc>
          <w:tcPr>
            <w:tcW w:w="9464" w:type="dxa"/>
          </w:tcPr>
          <w:p w:rsidR="002B3600" w:rsidRDefault="002B3600" w:rsidP="00563DAC"/>
        </w:tc>
      </w:tr>
    </w:tbl>
    <w:p w:rsidR="002B3600" w:rsidRDefault="002B3600" w:rsidP="002B3600"/>
    <w:p w:rsidR="002B3600" w:rsidRDefault="002B3600"/>
    <w:sectPr w:rsidR="002B3600" w:rsidSect="004C6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2AC" w:rsidRDefault="001A02AC" w:rsidP="002B3600">
      <w:pPr>
        <w:spacing w:after="0" w:line="240" w:lineRule="auto"/>
      </w:pPr>
      <w:r>
        <w:separator/>
      </w:r>
    </w:p>
  </w:endnote>
  <w:endnote w:type="continuationSeparator" w:id="0">
    <w:p w:rsidR="001A02AC" w:rsidRDefault="001A02AC" w:rsidP="002B3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2AC" w:rsidRDefault="001A02AC" w:rsidP="002B3600">
      <w:pPr>
        <w:spacing w:after="0" w:line="240" w:lineRule="auto"/>
      </w:pPr>
      <w:r>
        <w:separator/>
      </w:r>
    </w:p>
  </w:footnote>
  <w:footnote w:type="continuationSeparator" w:id="0">
    <w:p w:rsidR="001A02AC" w:rsidRDefault="001A02AC" w:rsidP="002B36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38FD"/>
    <w:rsid w:val="00033334"/>
    <w:rsid w:val="00040D0F"/>
    <w:rsid w:val="001A02AC"/>
    <w:rsid w:val="002B3600"/>
    <w:rsid w:val="004C6F8E"/>
    <w:rsid w:val="0064060B"/>
    <w:rsid w:val="00AA1778"/>
    <w:rsid w:val="00AC38FD"/>
    <w:rsid w:val="00C72EC1"/>
    <w:rsid w:val="00CF1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allout" idref="#_x0000_s1030"/>
        <o:r id="V:Rule2" type="callout" idref="#_x0000_s1031"/>
        <o:r id="V:Rule3" type="callout" idref="#_x0000_s1032"/>
        <o:r id="V:Rule4" type="callout" idref="#_x0000_s1033"/>
        <o:r id="V:Rule5" type="callout" idref="#_x0000_s1034"/>
        <o:r id="V:Rule6" type="callout" idref="#_x0000_s1035"/>
        <o:r id="V:Rule7" type="callout" idref="#_x0000_s1036"/>
        <o:r id="V:Rule8" type="callout" idref="#_x0000_s1037"/>
        <o:r id="V:Rule9" type="callout" idref="#_x0000_s1038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38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2B3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B3600"/>
  </w:style>
  <w:style w:type="paragraph" w:styleId="a5">
    <w:name w:val="footer"/>
    <w:basedOn w:val="a"/>
    <w:link w:val="a6"/>
    <w:uiPriority w:val="99"/>
    <w:semiHidden/>
    <w:unhideWhenUsed/>
    <w:rsid w:val="002B3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B3600"/>
  </w:style>
  <w:style w:type="table" w:styleId="a7">
    <w:name w:val="Table Grid"/>
    <w:basedOn w:val="a1"/>
    <w:uiPriority w:val="59"/>
    <w:rsid w:val="002B3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A7AE16-1A06-4ED7-BA7D-8ADC8F8D4ACC}"/>
</file>

<file path=customXml/itemProps2.xml><?xml version="1.0" encoding="utf-8"?>
<ds:datastoreItem xmlns:ds="http://schemas.openxmlformats.org/officeDocument/2006/customXml" ds:itemID="{A641F8EA-F7C1-48CD-8C12-998F5AA31BFF}"/>
</file>

<file path=customXml/itemProps3.xml><?xml version="1.0" encoding="utf-8"?>
<ds:datastoreItem xmlns:ds="http://schemas.openxmlformats.org/officeDocument/2006/customXml" ds:itemID="{16308C23-FBF2-4B97-ACCA-96E82300B0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1</dc:creator>
  <cp:lastModifiedBy>компьютер 1</cp:lastModifiedBy>
  <cp:revision>3</cp:revision>
  <dcterms:created xsi:type="dcterms:W3CDTF">2022-03-24T09:33:00Z</dcterms:created>
  <dcterms:modified xsi:type="dcterms:W3CDTF">2022-03-25T07:26:00Z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