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diagrams/drawing1.xml" ContentType="application/vnd.ms-office.drawingml.diagramDrawing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charts/chart3.xml" ContentType="application/vnd.openxmlformats-officedocument.drawingml.chart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23" w:rsidRDefault="002637E8" w:rsidP="00B018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37E8">
        <w:rPr>
          <w:rFonts w:ascii="Times New Roman" w:hAnsi="Times New Roman" w:cs="Times New Roman"/>
          <w:noProof/>
          <w:sz w:val="32"/>
          <w:szCs w:val="32"/>
        </w:rPr>
        <w:pict>
          <v:roundrect id="_x0000_s1026" style="position:absolute;margin-left:308.65pt;margin-top:-12.4pt;width:225.2pt;height:46.1pt;z-index:251660288" arcsize="10923f">
            <v:textbox style="mso-next-textbox:#_x0000_s1026">
              <w:txbxContent>
                <w:p w:rsidR="00E916B0" w:rsidRPr="008C105C" w:rsidRDefault="00E916B0" w:rsidP="00E916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C105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 xml:space="preserve">ТЭК </w:t>
                  </w:r>
                  <w:r w:rsidRPr="008C105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является базовой отраслью </w:t>
                  </w:r>
                </w:p>
                <w:p w:rsidR="00B01823" w:rsidRPr="008C105C" w:rsidRDefault="00E916B0" w:rsidP="00E916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105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хозяйства  </w:t>
                  </w:r>
                  <w:r w:rsidRPr="008C105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мира</w:t>
                  </w:r>
                  <w:r w:rsidRPr="008C105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roundrect>
        </w:pict>
      </w:r>
      <w:r w:rsidR="00B01823">
        <w:rPr>
          <w:rFonts w:ascii="Times New Roman" w:hAnsi="Times New Roman" w:cs="Times New Roman"/>
          <w:b/>
          <w:sz w:val="32"/>
          <w:szCs w:val="32"/>
        </w:rPr>
        <w:t>Топливно-энергетический комплекс мира</w:t>
      </w:r>
    </w:p>
    <w:p w:rsidR="00B01823" w:rsidRDefault="002637E8" w:rsidP="00B0182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7E8">
        <w:rPr>
          <w:noProof/>
          <w:lang w:eastAsia="ru-RU"/>
        </w:rPr>
        <w:pict>
          <v:roundrect id="_x0000_s1028" style="position:absolute;left:0;text-align:left;margin-left:-1.45pt;margin-top:4.45pt;width:264.9pt;height:27.35pt;z-index:251662336" arcsize="10923f" fillcolor="#daeef3 [664]" strokecolor="#d8d8d8 [2732]">
            <v:textbox style="mso-next-textbox:#_x0000_s1028">
              <w:txbxContent>
                <w:p w:rsidR="00B01823" w:rsidRPr="002F5F68" w:rsidRDefault="00E916B0" w:rsidP="00B0182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F5F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Топливная промышленность</w:t>
                  </w:r>
                </w:p>
              </w:txbxContent>
            </v:textbox>
          </v:roundrect>
        </w:pict>
      </w:r>
    </w:p>
    <w:p w:rsidR="00E916B0" w:rsidRDefault="002F5F6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5.35pt;margin-top:21.2pt;width:287.7pt;height:219.95pt;z-index:251664384;mso-position-horizontal-relative:text;mso-position-vertical-relative:text" filled="f" stroked="f">
            <v:textbox style="mso-next-textbox:#_x0000_s1030">
              <w:txbxContent>
                <w:p w:rsidR="00E916B0" w:rsidRDefault="00E916B0" w:rsidP="00E916B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63211" cy="2636874"/>
                        <wp:effectExtent l="19050" t="0" r="27689" b="0"/>
                        <wp:docPr id="56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C105C" w:rsidRPr="002637E8">
        <w:rPr>
          <w:noProof/>
          <w:lang w:eastAsia="ru-RU"/>
        </w:rPr>
        <w:pict>
          <v:roundrect id="_x0000_s1027" style="position:absolute;margin-left:270.15pt;margin-top:1.7pt;width:270.4pt;height:29pt;z-index:251661312" arcsize="10923f" fillcolor="#daeef3 [664]" strokecolor="#d8d8d8 [2732]">
            <v:textbox style="mso-next-textbox:#_x0000_s1027">
              <w:txbxContent>
                <w:p w:rsidR="00B01823" w:rsidRPr="008C105C" w:rsidRDefault="00E916B0" w:rsidP="00B0182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C10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Электроэнергетика </w:t>
                  </w:r>
                </w:p>
              </w:txbxContent>
            </v:textbox>
          </v:roundrect>
        </w:pict>
      </w:r>
    </w:p>
    <w:p w:rsidR="00E916B0" w:rsidRPr="00E916B0" w:rsidRDefault="008C105C" w:rsidP="00E916B0">
      <w:r>
        <w:rPr>
          <w:noProof/>
          <w:lang w:eastAsia="ru-RU"/>
        </w:rPr>
        <w:pict>
          <v:shape id="_x0000_s1029" type="#_x0000_t202" style="position:absolute;margin-left:270.15pt;margin-top:10.6pt;width:270.4pt;height:55.25pt;z-index:251663360">
            <v:textbox>
              <w:txbxContent>
                <w:p w:rsidR="00E916B0" w:rsidRPr="008C105C" w:rsidRDefault="00E916B0" w:rsidP="008C10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</w:pPr>
                  <w:r w:rsidRPr="008C105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Общемировой объём произведенной электроэнергии составляет </w:t>
                  </w:r>
                  <w:r w:rsidR="008C105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______  </w:t>
                  </w:r>
                  <w:proofErr w:type="spellStart"/>
                  <w:proofErr w:type="gramStart"/>
                  <w:r w:rsidR="008C105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трлн</w:t>
                  </w:r>
                  <w:proofErr w:type="spellEnd"/>
                  <w:proofErr w:type="gramEnd"/>
                  <w:r w:rsidR="008C105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 xml:space="preserve"> кВт/</w:t>
                  </w:r>
                  <w:r w:rsidRPr="008C105C">
                    <w:rPr>
                      <w:rFonts w:ascii="Times New Roman" w:eastAsia="PragmaticaBook-Reg" w:hAnsi="Times New Roman" w:cs="Times New Roman"/>
                      <w:sz w:val="28"/>
                      <w:szCs w:val="28"/>
                    </w:rPr>
                    <w:t>ч.</w:t>
                  </w:r>
                </w:p>
              </w:txbxContent>
            </v:textbox>
          </v:shape>
        </w:pict>
      </w:r>
    </w:p>
    <w:p w:rsidR="00E916B0" w:rsidRPr="00E916B0" w:rsidRDefault="00E916B0" w:rsidP="00E916B0"/>
    <w:p w:rsidR="00E916B0" w:rsidRPr="00E916B0" w:rsidRDefault="008C105C" w:rsidP="00E916B0">
      <w:r>
        <w:rPr>
          <w:noProof/>
          <w:lang w:eastAsia="ru-RU"/>
        </w:rPr>
        <w:pict>
          <v:shape id="_x0000_s1037" type="#_x0000_t202" style="position:absolute;margin-left:263.45pt;margin-top:14.95pt;width:297.7pt;height:229.95pt;z-index:251672576" filled="f" stroked="f">
            <v:textbox>
              <w:txbxContent>
                <w:p w:rsidR="00E916B0" w:rsidRDefault="00E916B0" w:rsidP="00E916B0">
                  <w:r w:rsidRPr="006401E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76221" cy="2647507"/>
                        <wp:effectExtent l="19050" t="0" r="14679" b="443"/>
                        <wp:docPr id="177" name="Диаграмма 9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16B0" w:rsidRPr="00E916B0" w:rsidRDefault="008C105C" w:rsidP="00E916B0">
      <w:r>
        <w:rPr>
          <w:noProof/>
          <w:lang w:eastAsia="ru-RU"/>
        </w:rPr>
        <w:pict>
          <v:shape id="_x0000_s1038" type="#_x0000_t202" style="position:absolute;margin-left:291.9pt;margin-top:7.15pt;width:233.6pt;height:38.5pt;z-index:251673600" stroked="f">
            <v:textbox>
              <w:txbxContent>
                <w:p w:rsidR="00E916B0" w:rsidRPr="008C105C" w:rsidRDefault="00E916B0" w:rsidP="00E916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b/>
                      <w:sz w:val="24"/>
                      <w:szCs w:val="24"/>
                    </w:rPr>
                  </w:pPr>
                  <w:r w:rsidRPr="008C105C">
                    <w:rPr>
                      <w:rFonts w:ascii="Times New Roman" w:eastAsia="PragmaticaBook-Reg" w:hAnsi="Times New Roman" w:cs="Times New Roman"/>
                      <w:b/>
                      <w:sz w:val="24"/>
                      <w:szCs w:val="24"/>
                    </w:rPr>
                    <w:t xml:space="preserve">Доля основных типов электростанций в производстве электроэнергии в мире </w:t>
                  </w:r>
                </w:p>
              </w:txbxContent>
            </v:textbox>
          </v:shape>
        </w:pict>
      </w:r>
    </w:p>
    <w:p w:rsidR="00E916B0" w:rsidRPr="00E916B0" w:rsidRDefault="00E916B0" w:rsidP="00E916B0"/>
    <w:p w:rsidR="00E916B0" w:rsidRPr="00E916B0" w:rsidRDefault="002F5F68" w:rsidP="00E916B0">
      <w:r>
        <w:rPr>
          <w:noProof/>
          <w:lang w:eastAsia="ru-RU"/>
        </w:rPr>
        <w:pict>
          <v:rect id="_x0000_s1049" style="position:absolute;margin-left:-1.45pt;margin-top:22.35pt;width:250.65pt;height:51.9pt;z-index:251684864" stroked="f"/>
        </w:pict>
      </w:r>
      <w:r w:rsidR="008C105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406.6pt;margin-top:14.8pt;width:98.8pt;height:1.7pt;flip:y;z-index:251683840" o:connectortype="straight"/>
        </w:pict>
      </w:r>
      <w:r w:rsidR="008C105C">
        <w:rPr>
          <w:noProof/>
          <w:lang w:eastAsia="ru-RU"/>
        </w:rPr>
        <w:pict>
          <v:shape id="_x0000_s1046" type="#_x0000_t32" style="position:absolute;margin-left:291.9pt;margin-top:22.35pt;width:72.85pt;height:.85pt;z-index:251682816" o:connectortype="straight"/>
        </w:pict>
      </w:r>
    </w:p>
    <w:p w:rsidR="00E916B0" w:rsidRDefault="00E916B0" w:rsidP="00E916B0"/>
    <w:p w:rsidR="008C105C" w:rsidRDefault="008C105C" w:rsidP="00E916B0">
      <w:r>
        <w:rPr>
          <w:noProof/>
          <w:lang w:eastAsia="ru-RU"/>
        </w:rPr>
        <w:pict>
          <v:shape id="_x0000_s1045" type="#_x0000_t32" style="position:absolute;margin-left:439.25pt;margin-top:11.65pt;width:86.25pt;height:0;z-index:251681792" o:connectortype="straight"/>
        </w:pict>
      </w:r>
    </w:p>
    <w:p w:rsidR="008C105C" w:rsidRDefault="002F5F68" w:rsidP="00E916B0">
      <w:r>
        <w:rPr>
          <w:noProof/>
          <w:lang w:eastAsia="ru-RU"/>
        </w:rPr>
        <w:pict>
          <v:shape id="_x0000_s1033" type="#_x0000_t202" style="position:absolute;margin-left:-8.15pt;margin-top:12.15pt;width:262.1pt;height:107.15pt;z-index:251667456;mso-position-horizontal-relative:text;mso-position-vertical-relative:text" strokecolor="black [3213]">
            <v:textbox>
              <w:txbxContent>
                <w:p w:rsidR="00E916B0" w:rsidRDefault="00E916B0" w:rsidP="002F5F6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2F5F68">
                    <w:rPr>
                      <w:rStyle w:val="ad"/>
                      <w:sz w:val="28"/>
                      <w:szCs w:val="28"/>
                    </w:rPr>
                    <w:t>Организация стран – экспортеров нефти</w:t>
                  </w:r>
                  <w:r w:rsidR="002F5F68">
                    <w:rPr>
                      <w:sz w:val="28"/>
                      <w:szCs w:val="28"/>
                    </w:rPr>
                    <w:t xml:space="preserve"> (ОПЕК) – международная </w:t>
                  </w:r>
                  <w:proofErr w:type="spellStart"/>
                  <w:proofErr w:type="gramStart"/>
                  <w:r w:rsidR="002F5F68">
                    <w:rPr>
                      <w:sz w:val="28"/>
                      <w:szCs w:val="28"/>
                    </w:rPr>
                    <w:t>меж-пра</w:t>
                  </w:r>
                  <w:r w:rsidRPr="002F5F68">
                    <w:rPr>
                      <w:sz w:val="28"/>
                      <w:szCs w:val="28"/>
                    </w:rPr>
                    <w:t>вительственная</w:t>
                  </w:r>
                  <w:proofErr w:type="spellEnd"/>
                  <w:proofErr w:type="gramEnd"/>
                  <w:r w:rsidRPr="002F5F68">
                    <w:rPr>
                      <w:sz w:val="28"/>
                      <w:szCs w:val="28"/>
                    </w:rPr>
                    <w:t xml:space="preserve"> организация, </w:t>
                  </w:r>
                  <w:proofErr w:type="spellStart"/>
                  <w:r w:rsidRPr="002F5F68">
                    <w:rPr>
                      <w:sz w:val="28"/>
                      <w:szCs w:val="28"/>
                    </w:rPr>
                    <w:t>создан</w:t>
                  </w:r>
                  <w:r w:rsidR="002F5F68">
                    <w:rPr>
                      <w:sz w:val="28"/>
                      <w:szCs w:val="28"/>
                    </w:rPr>
                    <w:t>-</w:t>
                  </w:r>
                  <w:r w:rsidRPr="002F5F68">
                    <w:rPr>
                      <w:sz w:val="28"/>
                      <w:szCs w:val="28"/>
                    </w:rPr>
                    <w:t>ная</w:t>
                  </w:r>
                  <w:proofErr w:type="spellEnd"/>
                  <w:r w:rsidR="002F5F68">
                    <w:rPr>
                      <w:sz w:val="28"/>
                      <w:szCs w:val="28"/>
                    </w:rPr>
                    <w:t xml:space="preserve"> _______________________________</w:t>
                  </w:r>
                </w:p>
                <w:p w:rsidR="002F5F68" w:rsidRPr="002F5F68" w:rsidRDefault="002F5F68" w:rsidP="002F5F6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</w:t>
                  </w:r>
                </w:p>
                <w:p w:rsidR="00E916B0" w:rsidRPr="002F5F68" w:rsidRDefault="00E916B0" w:rsidP="002F5F6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C105C">
        <w:rPr>
          <w:noProof/>
          <w:lang w:eastAsia="ru-RU"/>
        </w:rPr>
        <w:pict>
          <v:shape id="_x0000_s1044" type="#_x0000_t32" style="position:absolute;margin-left:285.2pt;margin-top:22.5pt;width:67pt;height:0;z-index:251680768" o:connectortype="straight"/>
        </w:pict>
      </w:r>
    </w:p>
    <w:p w:rsidR="008C105C" w:rsidRPr="00E916B0" w:rsidRDefault="008C105C" w:rsidP="00E916B0"/>
    <w:p w:rsidR="00E916B0" w:rsidRDefault="00E916B0" w:rsidP="00E916B0"/>
    <w:p w:rsidR="008C105C" w:rsidRDefault="008C105C" w:rsidP="00E916B0">
      <w:r>
        <w:rPr>
          <w:noProof/>
          <w:lang w:eastAsia="ru-RU"/>
        </w:rPr>
        <w:pict>
          <v:roundrect id="_x0000_s1039" style="position:absolute;margin-left:278.5pt;margin-top:3.65pt;width:255.35pt;height:47.75pt;z-index:251674624" arcsize="10923f">
            <v:textbox style="mso-next-textbox:#_x0000_s1039">
              <w:txbxContent>
                <w:p w:rsidR="00E916B0" w:rsidRPr="008C105C" w:rsidRDefault="00E916B0" w:rsidP="002F5F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C10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Страны – лидеры по выработке электроэнергии </w:t>
                  </w:r>
                  <w:proofErr w:type="gramStart"/>
                  <w:r w:rsidRPr="008C10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на</w:t>
                  </w:r>
                  <w:proofErr w:type="gramEnd"/>
                  <w:r w:rsidRPr="008C105C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: </w:t>
                  </w:r>
                </w:p>
              </w:txbxContent>
            </v:textbox>
          </v:roundrect>
        </w:pict>
      </w:r>
    </w:p>
    <w:p w:rsidR="008C105C" w:rsidRDefault="002F5F68" w:rsidP="00E916B0">
      <w:r>
        <w:rPr>
          <w:noProof/>
          <w:lang w:eastAsia="ru-RU"/>
        </w:rPr>
        <w:pict>
          <v:shape id="_x0000_s1034" type="#_x0000_t202" style="position:absolute;margin-left:-8.15pt;margin-top:17.55pt;width:262.1pt;height:103pt;z-index:251669504">
            <v:textbox>
              <w:txbxContent>
                <w:p w:rsidR="00E916B0" w:rsidRPr="002F5F68" w:rsidRDefault="002F5F68" w:rsidP="002F5F68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2F5F68">
                    <w:rPr>
                      <w:sz w:val="28"/>
                      <w:szCs w:val="28"/>
                    </w:rPr>
                    <w:t>В состав ОПЕК входят 13</w:t>
                  </w:r>
                  <w:r w:rsidR="00E916B0" w:rsidRPr="002F5F68">
                    <w:rPr>
                      <w:sz w:val="28"/>
                      <w:szCs w:val="28"/>
                    </w:rPr>
                    <w:t xml:space="preserve"> стран: </w:t>
                  </w:r>
                  <w:r>
                    <w:rPr>
                      <w:sz w:val="28"/>
                      <w:szCs w:val="28"/>
                    </w:rPr>
                    <w:t>______ __________________________________________________________________________________________________________________________________________</w:t>
                  </w:r>
                </w:p>
                <w:p w:rsidR="00E916B0" w:rsidRDefault="00E916B0"/>
              </w:txbxContent>
            </v:textbox>
          </v:shape>
        </w:pict>
      </w:r>
    </w:p>
    <w:p w:rsidR="008C105C" w:rsidRDefault="002F5F68" w:rsidP="00E916B0">
      <w:r>
        <w:rPr>
          <w:noProof/>
          <w:lang w:eastAsia="ru-RU"/>
        </w:rPr>
        <w:pict>
          <v:shape id="_x0000_s1036" type="#_x0000_t202" style="position:absolute;margin-left:263.45pt;margin-top:.5pt;width:274.6pt;height:378.4pt;z-index:251671552" stroked="f">
            <v:textbox>
              <w:txbxContent>
                <w:p w:rsidR="00E916B0" w:rsidRDefault="00E916B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19908" cy="4550735"/>
                        <wp:effectExtent l="19050" t="0" r="18592" b="0"/>
                        <wp:docPr id="10" name="Схема 10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6" r:lo="rId7" r:qs="rId8" r:cs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C105C" w:rsidRPr="00E916B0" w:rsidRDefault="008C105C" w:rsidP="00E916B0"/>
    <w:p w:rsidR="00E916B0" w:rsidRPr="00E916B0" w:rsidRDefault="00E916B0" w:rsidP="00E916B0"/>
    <w:p w:rsidR="00E916B0" w:rsidRPr="00E916B0" w:rsidRDefault="00E916B0" w:rsidP="00E916B0"/>
    <w:p w:rsidR="00E916B0" w:rsidRPr="00E916B0" w:rsidRDefault="002F5F68" w:rsidP="00E916B0">
      <w:r>
        <w:rPr>
          <w:noProof/>
          <w:lang w:eastAsia="ru-RU"/>
        </w:rPr>
        <w:pict>
          <v:shape id="_x0000_s1031" type="#_x0000_t202" style="position:absolute;margin-left:-24.25pt;margin-top:6.15pt;width:287.7pt;height:271pt;z-index:251665408" filled="f" stroked="f">
            <v:textbox style="mso-next-textbox:#_x0000_s1031">
              <w:txbxContent>
                <w:p w:rsidR="00E916B0" w:rsidRDefault="00E916B0" w:rsidP="00E916B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69871" cy="3115340"/>
                        <wp:effectExtent l="19050" t="0" r="21029" b="8860"/>
                        <wp:docPr id="57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16B0" w:rsidRDefault="00E916B0" w:rsidP="00E916B0"/>
    <w:p w:rsidR="008C105C" w:rsidRDefault="008C105C" w:rsidP="00E916B0"/>
    <w:p w:rsidR="008C105C" w:rsidRDefault="008C105C" w:rsidP="00E916B0"/>
    <w:p w:rsidR="008C105C" w:rsidRPr="00E916B0" w:rsidRDefault="008C105C" w:rsidP="00E916B0"/>
    <w:p w:rsidR="00E916B0" w:rsidRPr="00E916B0" w:rsidRDefault="00E916B0" w:rsidP="00E916B0"/>
    <w:p w:rsidR="00E916B0" w:rsidRPr="00E916B0" w:rsidRDefault="00E916B0" w:rsidP="00E916B0"/>
    <w:p w:rsidR="00E916B0" w:rsidRPr="00E916B0" w:rsidRDefault="002F5F68" w:rsidP="00E916B0">
      <w:r>
        <w:rPr>
          <w:noProof/>
          <w:lang w:eastAsia="ru-RU"/>
        </w:rPr>
        <w:pict>
          <v:rect id="_x0000_s1051" style="position:absolute;margin-left:9.75pt;margin-top:20.35pt;width:229.4pt;height:51.9pt;z-index:251685888" stroked="f"/>
        </w:pict>
      </w:r>
    </w:p>
    <w:p w:rsidR="00E916B0" w:rsidRPr="00E916B0" w:rsidRDefault="00E916B0" w:rsidP="00E916B0"/>
    <w:p w:rsidR="00E916B0" w:rsidRPr="00E916B0" w:rsidRDefault="00A30826" w:rsidP="00E916B0">
      <w:r>
        <w:rPr>
          <w:noProof/>
          <w:lang w:eastAsia="ru-RU"/>
        </w:rPr>
        <w:lastRenderedPageBreak/>
        <w:pict>
          <v:rect id="_x0000_s1053" style="position:absolute;margin-left:260.9pt;margin-top:-34.95pt;width:268.75pt;height:438.7pt;z-index:251687936">
            <v:textbox>
              <w:txbxContent>
                <w:p w:rsidR="00A30826" w:rsidRDefault="00A30826" w:rsidP="00A30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Гранд – Кули (США), </w:t>
                  </w:r>
                  <w:proofErr w:type="spellStart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Белхатув</w:t>
                  </w:r>
                  <w:proofErr w:type="spellEnd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(Польша), </w:t>
                  </w:r>
                  <w:proofErr w:type="spellStart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Сургутская</w:t>
                  </w:r>
                  <w:proofErr w:type="spellEnd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(Россия), </w:t>
                  </w:r>
                  <w:proofErr w:type="spellStart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Библис</w:t>
                  </w:r>
                  <w:proofErr w:type="spellEnd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(Германия), </w:t>
                  </w:r>
                  <w:proofErr w:type="spellStart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Фукусима</w:t>
                  </w:r>
                  <w:proofErr w:type="spellEnd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(Япония), Экибастуз (Казахстан), </w:t>
                  </w:r>
                  <w:proofErr w:type="spellStart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Уинтерсберг</w:t>
                  </w:r>
                  <w:proofErr w:type="spellEnd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(США), Красноярская (Россия), Брюс (Канада), </w:t>
                  </w:r>
                  <w:proofErr w:type="spellStart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Касима</w:t>
                  </w:r>
                  <w:proofErr w:type="spellEnd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(Япония), Запорожская (Украина), </w:t>
                  </w:r>
                  <w:proofErr w:type="spellStart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Итайпу</w:t>
                  </w:r>
                  <w:proofErr w:type="spellEnd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(Бразилия), </w:t>
                  </w:r>
                  <w:proofErr w:type="spellStart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Роксборо</w:t>
                  </w:r>
                  <w:proofErr w:type="spellEnd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(США), Три ущелья (Китай), </w:t>
                  </w:r>
                  <w:proofErr w:type="spellStart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Каттном</w:t>
                  </w:r>
                  <w:proofErr w:type="spellEnd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(Франция), </w:t>
                  </w:r>
                  <w:proofErr w:type="spellStart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Черчилл</w:t>
                  </w:r>
                  <w:proofErr w:type="spellEnd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– </w:t>
                  </w:r>
                  <w:proofErr w:type="spellStart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Фолс</w:t>
                  </w:r>
                  <w:proofErr w:type="spellEnd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(Канада), </w:t>
                  </w:r>
                  <w:proofErr w:type="spellStart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Касивадзаки-Карива</w:t>
                  </w:r>
                  <w:proofErr w:type="spellEnd"/>
                  <w:r w:rsidRPr="00A308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(Япония).</w:t>
                  </w:r>
                  <w:proofErr w:type="gramEnd"/>
                </w:p>
                <w:p w:rsidR="00A30826" w:rsidRDefault="00A30826" w:rsidP="00A30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30826" w:rsidRDefault="00A30826" w:rsidP="00A30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ТЭС: ______________________________ ______________________________________________________________________ ______________________________________________________________________</w:t>
                  </w:r>
                </w:p>
                <w:p w:rsidR="00A30826" w:rsidRDefault="00A30826" w:rsidP="00A30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ГЭС: ______________________________ ______________________________________________________________________ ______________________________________________________________________</w:t>
                  </w:r>
                </w:p>
                <w:p w:rsidR="00A30826" w:rsidRPr="00A30826" w:rsidRDefault="00A30826" w:rsidP="00A30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АЭС: ______________________________ ______________________________________________________________________ ______________________________________________________________________</w:t>
                  </w:r>
                </w:p>
                <w:p w:rsidR="00A30826" w:rsidRPr="00A30826" w:rsidRDefault="00A30826" w:rsidP="00A30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0826" w:rsidRPr="00A30826" w:rsidRDefault="00A30826" w:rsidP="00A30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8C105C">
        <w:rPr>
          <w:noProof/>
          <w:lang w:eastAsia="ru-RU"/>
        </w:rPr>
        <w:pict>
          <v:shape id="_x0000_s1032" type="#_x0000_t202" style="position:absolute;margin-left:-25.95pt;margin-top:-40.55pt;width:296.9pt;height:235.85pt;z-index:251666432" filled="f" stroked="f">
            <v:textbox style="mso-next-textbox:#_x0000_s1032">
              <w:txbxContent>
                <w:p w:rsidR="00E916B0" w:rsidRDefault="00E916B0" w:rsidP="00E916B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66696" cy="2817628"/>
                        <wp:effectExtent l="19050" t="0" r="24204" b="1772"/>
                        <wp:docPr id="4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16B0" w:rsidRPr="00E916B0" w:rsidRDefault="00E916B0" w:rsidP="00E916B0"/>
    <w:p w:rsidR="00E916B0" w:rsidRPr="00E916B0" w:rsidRDefault="00E916B0" w:rsidP="00E916B0"/>
    <w:p w:rsidR="00E916B0" w:rsidRPr="00E916B0" w:rsidRDefault="00E916B0" w:rsidP="00E916B0"/>
    <w:p w:rsidR="00E916B0" w:rsidRDefault="00E916B0" w:rsidP="00E916B0">
      <w:pPr>
        <w:tabs>
          <w:tab w:val="left" w:pos="8305"/>
        </w:tabs>
      </w:pPr>
      <w:r>
        <w:tab/>
      </w:r>
    </w:p>
    <w:p w:rsidR="00C61804" w:rsidRPr="00E916B0" w:rsidRDefault="002675F4" w:rsidP="00E916B0">
      <w:pPr>
        <w:tabs>
          <w:tab w:val="left" w:pos="8673"/>
        </w:tabs>
      </w:pPr>
      <w:r>
        <w:rPr>
          <w:noProof/>
          <w:lang w:eastAsia="ru-RU"/>
        </w:rPr>
        <w:pict>
          <v:rect id="_x0000_s1057" style="position:absolute;margin-left:260.9pt;margin-top:569.6pt;width:268.75pt;height:61.95pt;z-index:251692032">
            <v:textbox>
              <w:txbxContent>
                <w:p w:rsidR="002675F4" w:rsidRPr="002675F4" w:rsidRDefault="002675F4" w:rsidP="002675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75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Организации, связанные с </w:t>
                  </w:r>
                  <w:proofErr w:type="spellStart"/>
                  <w:proofErr w:type="gramStart"/>
                  <w:r w:rsidRPr="002675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электроэнерге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2675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тикой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1) МАГАТЭ, 2) </w:t>
                  </w:r>
                  <w:r w:rsidRPr="002675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Европейское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сообщество по атомной энергии.</w:t>
                  </w:r>
                </w:p>
                <w:p w:rsidR="002675F4" w:rsidRDefault="002675F4" w:rsidP="002675F4">
                  <w:pPr>
                    <w:spacing w:after="0"/>
                  </w:pPr>
                </w:p>
              </w:txbxContent>
            </v:textbox>
          </v:rect>
        </w:pict>
      </w:r>
      <w:r w:rsidR="00A30826">
        <w:rPr>
          <w:noProof/>
          <w:lang w:eastAsia="ru-RU"/>
        </w:rPr>
        <w:pict>
          <v:shape id="_x0000_s1056" type="#_x0000_t202" style="position:absolute;margin-left:-20.95pt;margin-top:207.1pt;width:264.9pt;height:424.45pt;z-index:251691008">
            <v:textbox>
              <w:txbxContent>
                <w:p w:rsidR="00A30826" w:rsidRDefault="00A30826" w:rsidP="00A308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Страны-лидеры по добыче топливных ресурсов с указанием бассейна</w:t>
                  </w:r>
                </w:p>
                <w:p w:rsidR="00A30826" w:rsidRDefault="00A30826" w:rsidP="00A30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0826" w:rsidRDefault="00A30826" w:rsidP="00A30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Нефть ___________________________ 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A30826" w:rsidRPr="00A30826" w:rsidRDefault="00A30826" w:rsidP="00A30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Газ  ______________________________ 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A30826" w:rsidRPr="00A30826" w:rsidRDefault="00A30826" w:rsidP="00A30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Уголь ___________________________ 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A30826" w:rsidRPr="00A30826" w:rsidRDefault="00A30826" w:rsidP="00A30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</w:t>
                  </w:r>
                </w:p>
              </w:txbxContent>
            </v:textbox>
          </v:shape>
        </w:pict>
      </w:r>
      <w:r w:rsidR="00A30826">
        <w:rPr>
          <w:noProof/>
          <w:lang w:eastAsia="ru-RU"/>
        </w:rPr>
        <w:pict>
          <v:rect id="_x0000_s1054" style="position:absolute;margin-left:260.9pt;margin-top:317.6pt;width:268.75pt;height:232.75pt;z-index:251688960">
            <v:textbox>
              <w:txbxContent>
                <w:p w:rsidR="00A30826" w:rsidRPr="00A30826" w:rsidRDefault="00A30826" w:rsidP="00A30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Электроэнергия передаётся по системе международных линий электропередач (ЛЭП). Международная транспортировка электроэнергии с помощью </w:t>
                  </w:r>
                  <w:proofErr w:type="spellStart"/>
                  <w:proofErr w:type="gramStart"/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магистраль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ных</w:t>
                  </w:r>
                  <w:proofErr w:type="spellEnd"/>
                  <w:proofErr w:type="gramEnd"/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ЛЭП наиболее характерна для стран Зарубежной Европы, для США и Канады. В ней также участвует и Россия.</w:t>
                  </w:r>
                  <w:r w:rsidRPr="00A30826">
                    <w:rPr>
                      <w:rFonts w:ascii="Roboto" w:hAnsi="Roboto"/>
                      <w:color w:val="000000"/>
                      <w:shd w:val="clear" w:color="auto" w:fill="FFFFFF"/>
                    </w:rPr>
                    <w:t xml:space="preserve"> </w:t>
                  </w:r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Крупнейшими  экспортерами </w:t>
                  </w:r>
                  <w:proofErr w:type="spellStart"/>
                  <w:proofErr w:type="gramStart"/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энергии</w:t>
                  </w:r>
                  <w:proofErr w:type="spellEnd"/>
                  <w:proofErr w:type="gramEnd"/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являются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________________, ________________, _______________. </w:t>
                  </w:r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импортерами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___________, _________, ______________, _______________, ______________. </w:t>
                  </w:r>
                </w:p>
              </w:txbxContent>
            </v:textbox>
          </v:rect>
        </w:pict>
      </w:r>
      <w:r w:rsidR="00A30826">
        <w:rPr>
          <w:noProof/>
          <w:lang w:eastAsia="ru-RU"/>
        </w:rPr>
        <w:pict>
          <v:roundrect id="_x0000_s1055" style="position:absolute;margin-left:259.25pt;margin-top:281.9pt;width:270.4pt;height:29pt;z-index:251689984" arcsize="10923f" fillcolor="#daeef3 [664]" strokecolor="#d8d8d8 [2732]">
            <v:textbox style="mso-next-textbox:#_x0000_s1055">
              <w:txbxContent>
                <w:p w:rsidR="00A30826" w:rsidRPr="008C105C" w:rsidRDefault="00A30826" w:rsidP="00A308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Международная транспортировка  </w:t>
                  </w:r>
                </w:p>
              </w:txbxContent>
            </v:textbox>
          </v:roundrect>
        </w:pict>
      </w:r>
      <w:r w:rsidR="00A30826">
        <w:rPr>
          <w:noProof/>
          <w:lang w:eastAsia="ru-RU"/>
        </w:rPr>
        <w:pict>
          <v:shape id="_x0000_s1035" type="#_x0000_t202" style="position:absolute;margin-left:-20.95pt;margin-top:68.1pt;width:264.9pt;height:139pt;z-index:251670528">
            <v:textbox>
              <w:txbxContent>
                <w:p w:rsidR="00E916B0" w:rsidRPr="00A30826" w:rsidRDefault="00E916B0" w:rsidP="00A308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Основные районы потребления </w:t>
                  </w:r>
                  <w:proofErr w:type="spellStart"/>
                  <w:proofErr w:type="gramStart"/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топлив</w:t>
                  </w:r>
                  <w:r w:rsid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ных</w:t>
                  </w:r>
                  <w:proofErr w:type="spellEnd"/>
                  <w:proofErr w:type="gramEnd"/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полезных ископаемых не совпадают с районами добычи. Из районов добычи в районы потребления ресурсы </w:t>
                  </w:r>
                  <w:proofErr w:type="spellStart"/>
                  <w:proofErr w:type="gramStart"/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достав</w:t>
                  </w:r>
                  <w:r w:rsid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ляются</w:t>
                  </w:r>
                  <w:proofErr w:type="spellEnd"/>
                  <w:proofErr w:type="gramEnd"/>
                  <w:r w:rsidRPr="00A30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трубопроводам или танкерами по водным путям. Это порождает крупные международные потоки нефти, газа и  угля.</w:t>
                  </w:r>
                </w:p>
              </w:txbxContent>
            </v:textbox>
          </v:shape>
        </w:pict>
      </w:r>
      <w:r w:rsidR="002F5F68">
        <w:rPr>
          <w:noProof/>
          <w:lang w:eastAsia="ru-RU"/>
        </w:rPr>
        <w:pict>
          <v:rect id="_x0000_s1052" style="position:absolute;margin-left:8.9pt;margin-top:18.7pt;width:221.05pt;height:32.65pt;z-index:251686912" stroked="f"/>
        </w:pict>
      </w:r>
      <w:r w:rsidR="00E916B0">
        <w:tab/>
      </w:r>
    </w:p>
    <w:sectPr w:rsidR="00C61804" w:rsidRPr="00E916B0" w:rsidSect="00B0182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1823"/>
    <w:rsid w:val="002637E8"/>
    <w:rsid w:val="002675F4"/>
    <w:rsid w:val="002F5F68"/>
    <w:rsid w:val="008C105C"/>
    <w:rsid w:val="00A30826"/>
    <w:rsid w:val="00B01823"/>
    <w:rsid w:val="00C61804"/>
    <w:rsid w:val="00E9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" strokecolor="none"/>
    </o:shapedefaults>
    <o:shapelayout v:ext="edit">
      <o:idmap v:ext="edit" data="1"/>
      <o:rules v:ext="edit">
        <o:r id="V:Rule2" type="connector" idref="#_x0000_s1044"/>
        <o:r id="V:Rule4" type="connector" idref="#_x0000_s1045"/>
        <o:r id="V:Rule6" type="connector" idref="#_x0000_s1046"/>
        <o:r id="V:Rule8" type="connector" idref="#_x0000_s1047"/>
        <o:r id="V:Rule10" type="connector" idref="#_x0000_s1048"/>
        <o:r id="V:Rule1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B018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B01823"/>
    <w:rPr>
      <w:b/>
      <w:bCs/>
      <w:i/>
      <w:iCs/>
      <w:color w:val="4F81BD" w:themeColor="accent1"/>
    </w:rPr>
  </w:style>
  <w:style w:type="character" w:styleId="a5">
    <w:name w:val="annotation reference"/>
    <w:basedOn w:val="a0"/>
    <w:uiPriority w:val="99"/>
    <w:semiHidden/>
    <w:unhideWhenUsed/>
    <w:rsid w:val="00B0182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182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018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18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182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0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82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E9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916B0"/>
    <w:rPr>
      <w:b/>
      <w:bCs/>
    </w:rPr>
  </w:style>
  <w:style w:type="character" w:styleId="ae">
    <w:name w:val="Hyperlink"/>
    <w:basedOn w:val="a0"/>
    <w:uiPriority w:val="99"/>
    <w:unhideWhenUsed/>
    <w:rsid w:val="00E916B0"/>
    <w:rPr>
      <w:color w:val="0000FF" w:themeColor="hyperlink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rsid w:val="00E916B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chart" Target="charts/chart4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chart" Target="charts/chart3.xml"/><Relationship Id="rId5" Type="http://schemas.openxmlformats.org/officeDocument/2006/relationships/chart" Target="charts/chart2.xml"/><Relationship Id="rId15" Type="http://schemas.openxmlformats.org/officeDocument/2006/relationships/customXml" Target="../customXml/item1.xml"/><Relationship Id="rId10" Type="http://schemas.microsoft.com/office/2007/relationships/diagramDrawing" Target="diagrams/drawing1.xml"/><Relationship Id="rId4" Type="http://schemas.openxmlformats.org/officeDocument/2006/relationships/chart" Target="charts/chart1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Страны-лидеры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по добыче нефти, млн. тонн в год (2018 год)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34E-3"/>
                  <c:y val="3.5171903833922186E-2"/>
                </c:manualLayout>
              </c:layout>
              <c:showVal val="1"/>
            </c:dLbl>
            <c:dLbl>
              <c:idx val="3"/>
              <c:layout>
                <c:manualLayout>
                  <c:x val="-1.8886988292744163E-2"/>
                  <c:y val="5.8619839723203582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43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43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34E-3"/>
                  <c:y val="2.9309919861601797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Саудовская Аравия</c:v>
                </c:pt>
                <c:pt idx="1">
                  <c:v>Россия</c:v>
                </c:pt>
                <c:pt idx="2">
                  <c:v>США</c:v>
                </c:pt>
                <c:pt idx="3">
                  <c:v>Ирак</c:v>
                </c:pt>
                <c:pt idx="4">
                  <c:v>Канада</c:v>
                </c:pt>
                <c:pt idx="5">
                  <c:v>Иран</c:v>
                </c:pt>
                <c:pt idx="6">
                  <c:v>Китай</c:v>
                </c:pt>
                <c:pt idx="7">
                  <c:v>ОАЭ</c:v>
                </c:pt>
                <c:pt idx="8">
                  <c:v>Кувейт</c:v>
                </c:pt>
                <c:pt idx="9">
                  <c:v>Бразилия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586</c:v>
                </c:pt>
                <c:pt idx="1">
                  <c:v>554</c:v>
                </c:pt>
                <c:pt idx="2">
                  <c:v>543</c:v>
                </c:pt>
                <c:pt idx="3">
                  <c:v>219</c:v>
                </c:pt>
                <c:pt idx="4">
                  <c:v>218</c:v>
                </c:pt>
                <c:pt idx="5">
                  <c:v>216</c:v>
                </c:pt>
                <c:pt idx="6">
                  <c:v>200</c:v>
                </c:pt>
                <c:pt idx="7">
                  <c:v>182</c:v>
                </c:pt>
                <c:pt idx="8">
                  <c:v>153</c:v>
                </c:pt>
                <c:pt idx="9">
                  <c:v>137</c:v>
                </c:pt>
              </c:numCache>
            </c:numRef>
          </c:val>
        </c:ser>
        <c:axId val="429087744"/>
        <c:axId val="448795392"/>
      </c:barChart>
      <c:catAx>
        <c:axId val="42908774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8795392"/>
        <c:crosses val="autoZero"/>
        <c:auto val="1"/>
        <c:lblAlgn val="ctr"/>
        <c:lblOffset val="100"/>
      </c:catAx>
      <c:valAx>
        <c:axId val="448795392"/>
        <c:scaling>
          <c:orientation val="minMax"/>
        </c:scaling>
        <c:axPos val="l"/>
        <c:majorGridlines/>
        <c:numFmt formatCode="General" sourceLinked="1"/>
        <c:tickLblPos val="nextTo"/>
        <c:crossAx val="42908774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0198114993064731"/>
          <c:y val="0.26601213896696024"/>
          <c:w val="0.5739588729529258"/>
          <c:h val="0.73193838580974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3"/>
              <c:layout>
                <c:manualLayout>
                  <c:x val="4.1866233460044124E-2"/>
                  <c:y val="0.1011515682960496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ТЭС</c:v>
                </c:pt>
                <c:pt idx="1">
                  <c:v>ГЭС</c:v>
                </c:pt>
                <c:pt idx="2">
                  <c:v>АЭС</c:v>
                </c:pt>
                <c:pt idx="3">
                  <c:v>другие типы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0.68</c:v>
                </c:pt>
                <c:pt idx="1">
                  <c:v>0.16</c:v>
                </c:pt>
                <c:pt idx="2">
                  <c:v>0.13</c:v>
                </c:pt>
                <c:pt idx="3">
                  <c:v>3.0000000000000002E-2</c:v>
                </c:pt>
              </c:numCache>
            </c:numRef>
          </c:val>
        </c:ser>
        <c:firstSliceAng val="0"/>
      </c:pieChart>
    </c:plotArea>
    <c:plotVisOnly val="1"/>
  </c:chart>
  <c:spPr>
    <a:noFill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Страны-лидеры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по добыче  газа, млрд. м</a:t>
            </a:r>
            <a:r>
              <a:rPr lang="ru-RU" sz="1100" baseline="0">
                <a:latin typeface="Times New Roman"/>
                <a:cs typeface="Times New Roman"/>
              </a:rPr>
              <a:t>³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в год (2018 год)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366E-3"/>
                  <c:y val="3.51719038339222E-2"/>
                </c:manualLayout>
              </c:layout>
              <c:showVal val="1"/>
            </c:dLbl>
            <c:dLbl>
              <c:idx val="3"/>
              <c:layout>
                <c:manualLayout>
                  <c:x val="3.777397658548834E-3"/>
                  <c:y val="1.172396794464072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54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54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366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США</c:v>
                </c:pt>
                <c:pt idx="1">
                  <c:v>Россия</c:v>
                </c:pt>
                <c:pt idx="2">
                  <c:v>Иран</c:v>
                </c:pt>
                <c:pt idx="3">
                  <c:v>Катар</c:v>
                </c:pt>
                <c:pt idx="4">
                  <c:v>Канада</c:v>
                </c:pt>
                <c:pt idx="5">
                  <c:v>Китай</c:v>
                </c:pt>
                <c:pt idx="6">
                  <c:v>Норвегия</c:v>
                </c:pt>
                <c:pt idx="7">
                  <c:v>Саудовская Аравия</c:v>
                </c:pt>
                <c:pt idx="8">
                  <c:v>Алжир</c:v>
                </c:pt>
                <c:pt idx="9">
                  <c:v>Туркмения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751</c:v>
                </c:pt>
                <c:pt idx="1">
                  <c:v>642</c:v>
                </c:pt>
                <c:pt idx="2">
                  <c:v>227</c:v>
                </c:pt>
                <c:pt idx="3">
                  <c:v>183</c:v>
                </c:pt>
                <c:pt idx="4">
                  <c:v>174</c:v>
                </c:pt>
                <c:pt idx="5">
                  <c:v>137</c:v>
                </c:pt>
                <c:pt idx="6">
                  <c:v>120</c:v>
                </c:pt>
                <c:pt idx="7">
                  <c:v>111</c:v>
                </c:pt>
                <c:pt idx="8">
                  <c:v>93</c:v>
                </c:pt>
                <c:pt idx="9">
                  <c:v>82</c:v>
                </c:pt>
              </c:numCache>
            </c:numRef>
          </c:val>
        </c:ser>
        <c:axId val="420816000"/>
        <c:axId val="420937728"/>
      </c:barChart>
      <c:catAx>
        <c:axId val="42081600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20937728"/>
        <c:crosses val="autoZero"/>
        <c:auto val="1"/>
        <c:lblAlgn val="ctr"/>
        <c:lblOffset val="100"/>
      </c:catAx>
      <c:valAx>
        <c:axId val="420937728"/>
        <c:scaling>
          <c:orientation val="minMax"/>
        </c:scaling>
        <c:axPos val="l"/>
        <c:majorGridlines/>
        <c:numFmt formatCode="General" sourceLinked="1"/>
        <c:tickLblPos val="nextTo"/>
        <c:crossAx val="42081600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Страны-лидеры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по добыче  угля, млн. тонн в год (2018 год)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layout>
                <c:manualLayout>
                  <c:x val="3.7773976585488366E-3"/>
                  <c:y val="3.51719038339222E-2"/>
                </c:manualLayout>
              </c:layout>
              <c:showVal val="1"/>
            </c:dLbl>
            <c:dLbl>
              <c:idx val="3"/>
              <c:layout>
                <c:manualLayout>
                  <c:x val="-6.2440328602635992E-6"/>
                  <c:y val="5.8620978389367587E-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447935889281454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2.9309919861601842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2.3447935889281454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2.3447935889281492E-2"/>
                </c:manualLayout>
              </c:layout>
              <c:showVal val="1"/>
            </c:dLbl>
            <c:dLbl>
              <c:idx val="9"/>
              <c:layout>
                <c:manualLayout>
                  <c:x val="3.7773976585488366E-3"/>
                  <c:y val="2.9309919861601801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Китай</c:v>
                </c:pt>
                <c:pt idx="1">
                  <c:v>Индия</c:v>
                </c:pt>
                <c:pt idx="2">
                  <c:v>США</c:v>
                </c:pt>
                <c:pt idx="3">
                  <c:v>Австралия</c:v>
                </c:pt>
                <c:pt idx="4">
                  <c:v>Индонезия</c:v>
                </c:pt>
                <c:pt idx="5">
                  <c:v>Россия</c:v>
                </c:pt>
                <c:pt idx="6">
                  <c:v>ЮАР</c:v>
                </c:pt>
                <c:pt idx="7">
                  <c:v>Германия</c:v>
                </c:pt>
                <c:pt idx="8">
                  <c:v>Польша</c:v>
                </c:pt>
                <c:pt idx="9">
                  <c:v>Казахстан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3411</c:v>
                </c:pt>
                <c:pt idx="1">
                  <c:v>692</c:v>
                </c:pt>
                <c:pt idx="2">
                  <c:v>661</c:v>
                </c:pt>
                <c:pt idx="3">
                  <c:v>493</c:v>
                </c:pt>
                <c:pt idx="4">
                  <c:v>434</c:v>
                </c:pt>
                <c:pt idx="5">
                  <c:v>385</c:v>
                </c:pt>
                <c:pt idx="6">
                  <c:v>251</c:v>
                </c:pt>
                <c:pt idx="7">
                  <c:v>176</c:v>
                </c:pt>
                <c:pt idx="8">
                  <c:v>131</c:v>
                </c:pt>
                <c:pt idx="9">
                  <c:v>102</c:v>
                </c:pt>
              </c:numCache>
            </c:numRef>
          </c:val>
        </c:ser>
        <c:axId val="415500928"/>
        <c:axId val="417799168"/>
      </c:barChart>
      <c:catAx>
        <c:axId val="41550092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7799168"/>
        <c:crosses val="autoZero"/>
        <c:auto val="1"/>
        <c:lblAlgn val="ctr"/>
        <c:lblOffset val="100"/>
      </c:catAx>
      <c:valAx>
        <c:axId val="417799168"/>
        <c:scaling>
          <c:orientation val="minMax"/>
        </c:scaling>
        <c:axPos val="l"/>
        <c:majorGridlines/>
        <c:numFmt formatCode="General" sourceLinked="1"/>
        <c:tickLblPos val="nextTo"/>
        <c:crossAx val="415500928"/>
        <c:crosses val="autoZero"/>
        <c:crossBetween val="between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930821-A201-4904-AB62-F45FCD525214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20DC626-C180-478B-A3AA-FF40F1D2B54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ТЭС</a:t>
          </a:r>
        </a:p>
      </dgm:t>
    </dgm:pt>
    <dgm:pt modelId="{33499168-963B-4382-BD8E-BAFA42B74D3A}" type="parTrans" cxnId="{036127EE-285C-4A84-8C10-DC27575284A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BBF897E-76CD-47D4-8B7C-B0F2C92418D3}" type="sibTrans" cxnId="{036127EE-285C-4A84-8C10-DC27575284A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BA04D88-DBC0-4EA9-B54C-6854FC608887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ГЭС </a:t>
          </a:r>
        </a:p>
      </dgm:t>
    </dgm:pt>
    <dgm:pt modelId="{CA34A509-D2FA-4CBC-9657-DE7575D3E740}" type="parTrans" cxnId="{0D7A6753-9D35-49EA-A138-79A91147355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997EA19-4FEF-4957-B703-065C0A86C569}" type="sibTrans" cxnId="{0D7A6753-9D35-49EA-A138-79A91147355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DA50B48-93E8-44A2-A4C4-76E46FD5C94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АЭС</a:t>
          </a:r>
        </a:p>
      </dgm:t>
    </dgm:pt>
    <dgm:pt modelId="{EB5802DA-1ACA-4F10-9FCF-C1DC0167030B}" type="parTrans" cxnId="{5F6F6236-77D0-42A4-BD3B-CE71D3B994C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2F50E93-68DA-41F3-80C6-3A921DA1D56E}" type="sibTrans" cxnId="{5F6F6236-77D0-42A4-BD3B-CE71D3B994C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DA85787-33F3-41D6-A0CE-6CC7BFD068F1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_______________,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_____________, _______________, _____________, _______________, _____________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676C790-3199-4B10-9898-C72C90EBAA76}" type="parTrans" cxnId="{B99449ED-9C74-491C-BAB9-5B2A411DD02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4E8D964-6A75-48AC-934F-EB1C00BDB8B3}" type="sibTrans" cxnId="{B99449ED-9C74-491C-BAB9-5B2A411DD02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2DFC95D-5D81-45BC-A24E-9AC5A0F499E9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_______________,</a:t>
          </a:r>
          <a:r>
            <a:rPr lang="ru-RU" sz="1100" baseline="0">
              <a:latin typeface="Times New Roman" pitchFamily="18" charset="0"/>
              <a:cs typeface="Times New Roman" pitchFamily="18" charset="0"/>
            </a:rPr>
            <a:t> _____________, _______________, _____________, _______________, _____________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533C6249-DD59-4DF6-9DD2-49297DB8DCF0}" type="parTrans" cxnId="{37B1F6A9-9012-49D6-A6A1-9053BD69198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8ED1065-CDF5-480E-8B78-DEAB0085E60D}" type="sibTrans" cxnId="{37B1F6A9-9012-49D6-A6A1-9053BD69198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C671551-8D4C-4377-A71C-2710418DC584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 ______________, _____________, ______________, _____________.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32FE184-8AE2-4BAC-9B1E-956867CC8BF4}" type="parTrans" cxnId="{C985D63B-2F05-4602-8BBE-FE632FC6D7E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30346DC-9F14-4750-8B3A-4FDA3A5BDE91}" type="sibTrans" cxnId="{C985D63B-2F05-4602-8BBE-FE632FC6D7E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08B3AFB-F3FD-4A40-807D-450525A5011E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Альтернативные </a:t>
          </a:r>
        </a:p>
      </dgm:t>
    </dgm:pt>
    <dgm:pt modelId="{39166CAA-1442-4FFE-8EF6-E38E74A43FF9}" type="parTrans" cxnId="{1DE9E9BE-DD8A-4FF6-907E-AEAB6478276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D5E8541-0451-4685-B17C-046DBAC7B3E1}" type="sibTrans" cxnId="{1DE9E9BE-DD8A-4FF6-907E-AEAB6478276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3A254DE-6323-4137-9067-39E6CB9A007C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Геотермальную энергию активно используют в __________, __________, Японии, Китае, США, Новой Зеландии. Ветровые электростанции (ВЭС): __________, ____________, Дания, Норвегия, Испания. Солнечные электростанции (СЭС): _________, ___________, Израиль, Кипр, Турция. Приливные электростанции (ПЭС): _________, ____________, США, Китай, Индия, Южная Корея.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40FA938-24F9-44DD-BB64-518FEAD37381}" type="parTrans" cxnId="{B513820B-0061-4244-A198-F891CC3FA88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2014E55-93A3-4A19-94B1-6A845E16393D}" type="sibTrans" cxnId="{B513820B-0061-4244-A198-F891CC3FA88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B76B895-5689-429B-AD98-B2A6EBF3D0CF}" type="pres">
      <dgm:prSet presAssocID="{81930821-A201-4904-AB62-F45FCD52521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855189-65B1-4B61-B0A6-D3246F5C03B0}" type="pres">
      <dgm:prSet presAssocID="{920DC626-C180-478B-A3AA-FF40F1D2B54B}" presName="parentLin" presStyleCnt="0"/>
      <dgm:spPr/>
    </dgm:pt>
    <dgm:pt modelId="{BB016DB3-3F14-4D85-ADEF-76ABAEFCCEE7}" type="pres">
      <dgm:prSet presAssocID="{920DC626-C180-478B-A3AA-FF40F1D2B54B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E41F3B61-6AF5-46EF-94C9-66A66EE4363E}" type="pres">
      <dgm:prSet presAssocID="{920DC626-C180-478B-A3AA-FF40F1D2B54B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0A8100-1D58-467F-9840-6534D867F3F8}" type="pres">
      <dgm:prSet presAssocID="{920DC626-C180-478B-A3AA-FF40F1D2B54B}" presName="negativeSpace" presStyleCnt="0"/>
      <dgm:spPr/>
    </dgm:pt>
    <dgm:pt modelId="{9014DA55-D934-4551-9E19-61C2B42946D3}" type="pres">
      <dgm:prSet presAssocID="{920DC626-C180-478B-A3AA-FF40F1D2B54B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20586C-51B1-4F8A-B98E-669A0ACD1605}" type="pres">
      <dgm:prSet presAssocID="{BBBF897E-76CD-47D4-8B7C-B0F2C92418D3}" presName="spaceBetweenRectangles" presStyleCnt="0"/>
      <dgm:spPr/>
    </dgm:pt>
    <dgm:pt modelId="{9187081B-9DE4-4B16-AF10-D9EBAE81994A}" type="pres">
      <dgm:prSet presAssocID="{EBA04D88-DBC0-4EA9-B54C-6854FC608887}" presName="parentLin" presStyleCnt="0"/>
      <dgm:spPr/>
    </dgm:pt>
    <dgm:pt modelId="{6830A26B-BF72-4BCD-9D79-67C6FC0058EC}" type="pres">
      <dgm:prSet presAssocID="{EBA04D88-DBC0-4EA9-B54C-6854FC608887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B4045342-CAFF-4B1F-BD9E-80A507F71BF4}" type="pres">
      <dgm:prSet presAssocID="{EBA04D88-DBC0-4EA9-B54C-6854FC608887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D991F4-2AA1-42F1-986E-16F2C3B44D12}" type="pres">
      <dgm:prSet presAssocID="{EBA04D88-DBC0-4EA9-B54C-6854FC608887}" presName="negativeSpace" presStyleCnt="0"/>
      <dgm:spPr/>
    </dgm:pt>
    <dgm:pt modelId="{423C912E-1B52-4688-A6AA-5323ED438DAB}" type="pres">
      <dgm:prSet presAssocID="{EBA04D88-DBC0-4EA9-B54C-6854FC608887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1D6AD4-FA36-414E-B531-E297C5F5AFA1}" type="pres">
      <dgm:prSet presAssocID="{8997EA19-4FEF-4957-B703-065C0A86C569}" presName="spaceBetweenRectangles" presStyleCnt="0"/>
      <dgm:spPr/>
    </dgm:pt>
    <dgm:pt modelId="{DBA3C65E-209E-4307-8C5A-C8FF87BA36BB}" type="pres">
      <dgm:prSet presAssocID="{DDA50B48-93E8-44A2-A4C4-76E46FD5C949}" presName="parentLin" presStyleCnt="0"/>
      <dgm:spPr/>
    </dgm:pt>
    <dgm:pt modelId="{32095564-BD58-4C47-921E-AAD345260E4F}" type="pres">
      <dgm:prSet presAssocID="{DDA50B48-93E8-44A2-A4C4-76E46FD5C949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BF72B423-06EE-4B15-AD45-F54B221A7397}" type="pres">
      <dgm:prSet presAssocID="{DDA50B48-93E8-44A2-A4C4-76E46FD5C949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C26D36-3B58-4805-BDD3-23004F052195}" type="pres">
      <dgm:prSet presAssocID="{DDA50B48-93E8-44A2-A4C4-76E46FD5C949}" presName="negativeSpace" presStyleCnt="0"/>
      <dgm:spPr/>
    </dgm:pt>
    <dgm:pt modelId="{90EE625E-220A-4DEF-A417-D0B2A288B900}" type="pres">
      <dgm:prSet presAssocID="{DDA50B48-93E8-44A2-A4C4-76E46FD5C949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CB652F-BC6B-423A-8629-EE6F2C6CA02C}" type="pres">
      <dgm:prSet presAssocID="{82F50E93-68DA-41F3-80C6-3A921DA1D56E}" presName="spaceBetweenRectangles" presStyleCnt="0"/>
      <dgm:spPr/>
    </dgm:pt>
    <dgm:pt modelId="{8A9C44E0-5A96-4666-B030-7AB6CB988568}" type="pres">
      <dgm:prSet presAssocID="{B08B3AFB-F3FD-4A40-807D-450525A5011E}" presName="parentLin" presStyleCnt="0"/>
      <dgm:spPr/>
    </dgm:pt>
    <dgm:pt modelId="{DFB32C37-3B37-4AD1-A566-D4DC1381E69E}" type="pres">
      <dgm:prSet presAssocID="{B08B3AFB-F3FD-4A40-807D-450525A5011E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1BB631EB-9018-40DD-8FB3-EEB816E81022}" type="pres">
      <dgm:prSet presAssocID="{B08B3AFB-F3FD-4A40-807D-450525A5011E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B0164B-B541-4375-AB8F-19804D8CDF80}" type="pres">
      <dgm:prSet presAssocID="{B08B3AFB-F3FD-4A40-807D-450525A5011E}" presName="negativeSpace" presStyleCnt="0"/>
      <dgm:spPr/>
    </dgm:pt>
    <dgm:pt modelId="{43AB3938-909A-4FDC-BFE4-655E4DFA7643}" type="pres">
      <dgm:prSet presAssocID="{B08B3AFB-F3FD-4A40-807D-450525A5011E}" presName="childText" presStyleLbl="conF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F6F6236-77D0-42A4-BD3B-CE71D3B994CE}" srcId="{81930821-A201-4904-AB62-F45FCD525214}" destId="{DDA50B48-93E8-44A2-A4C4-76E46FD5C949}" srcOrd="2" destOrd="0" parTransId="{EB5802DA-1ACA-4F10-9FCF-C1DC0167030B}" sibTransId="{82F50E93-68DA-41F3-80C6-3A921DA1D56E}"/>
    <dgm:cxn modelId="{55502863-29B9-4D81-9FE9-EF1FAD6A8C5B}" type="presOf" srcId="{EBA04D88-DBC0-4EA9-B54C-6854FC608887}" destId="{B4045342-CAFF-4B1F-BD9E-80A507F71BF4}" srcOrd="1" destOrd="0" presId="urn:microsoft.com/office/officeart/2005/8/layout/list1"/>
    <dgm:cxn modelId="{1DE9E9BE-DD8A-4FF6-907E-AEAB6478276E}" srcId="{81930821-A201-4904-AB62-F45FCD525214}" destId="{B08B3AFB-F3FD-4A40-807D-450525A5011E}" srcOrd="3" destOrd="0" parTransId="{39166CAA-1442-4FFE-8EF6-E38E74A43FF9}" sibTransId="{BD5E8541-0451-4685-B17C-046DBAC7B3E1}"/>
    <dgm:cxn modelId="{0D7A6753-9D35-49EA-A138-79A911473555}" srcId="{81930821-A201-4904-AB62-F45FCD525214}" destId="{EBA04D88-DBC0-4EA9-B54C-6854FC608887}" srcOrd="1" destOrd="0" parTransId="{CA34A509-D2FA-4CBC-9657-DE7575D3E740}" sibTransId="{8997EA19-4FEF-4957-B703-065C0A86C569}"/>
    <dgm:cxn modelId="{6F13E0D6-E1B9-42AF-BE4E-01B532C13F4B}" type="presOf" srcId="{920DC626-C180-478B-A3AA-FF40F1D2B54B}" destId="{BB016DB3-3F14-4D85-ADEF-76ABAEFCCEE7}" srcOrd="0" destOrd="0" presId="urn:microsoft.com/office/officeart/2005/8/layout/list1"/>
    <dgm:cxn modelId="{C52F066C-26D0-46DA-A756-E9CB2CEA8262}" type="presOf" srcId="{1DA85787-33F3-41D6-A0CE-6CC7BFD068F1}" destId="{9014DA55-D934-4551-9E19-61C2B42946D3}" srcOrd="0" destOrd="0" presId="urn:microsoft.com/office/officeart/2005/8/layout/list1"/>
    <dgm:cxn modelId="{B513820B-0061-4244-A198-F891CC3FA889}" srcId="{B08B3AFB-F3FD-4A40-807D-450525A5011E}" destId="{93A254DE-6323-4137-9067-39E6CB9A007C}" srcOrd="0" destOrd="0" parTransId="{A40FA938-24F9-44DD-BB64-518FEAD37381}" sibTransId="{12014E55-93A3-4A19-94B1-6A845E16393D}"/>
    <dgm:cxn modelId="{625A32BD-D178-4292-9AAE-3ACA7F3E1D8D}" type="presOf" srcId="{81930821-A201-4904-AB62-F45FCD525214}" destId="{9B76B895-5689-429B-AD98-B2A6EBF3D0CF}" srcOrd="0" destOrd="0" presId="urn:microsoft.com/office/officeart/2005/8/layout/list1"/>
    <dgm:cxn modelId="{C985D63B-2F05-4602-8BBE-FE632FC6D7EB}" srcId="{DDA50B48-93E8-44A2-A4C4-76E46FD5C949}" destId="{BC671551-8D4C-4377-A71C-2710418DC584}" srcOrd="0" destOrd="0" parTransId="{A32FE184-8AE2-4BAC-9B1E-956867CC8BF4}" sibTransId="{630346DC-9F14-4750-8B3A-4FDA3A5BDE91}"/>
    <dgm:cxn modelId="{60C9F91C-8F72-49F7-B83B-C4B73DFB7CB8}" type="presOf" srcId="{BC671551-8D4C-4377-A71C-2710418DC584}" destId="{90EE625E-220A-4DEF-A417-D0B2A288B900}" srcOrd="0" destOrd="0" presId="urn:microsoft.com/office/officeart/2005/8/layout/list1"/>
    <dgm:cxn modelId="{8E6FF954-DA45-403C-AFDD-B5D449C1EC23}" type="presOf" srcId="{93A254DE-6323-4137-9067-39E6CB9A007C}" destId="{43AB3938-909A-4FDC-BFE4-655E4DFA7643}" srcOrd="0" destOrd="0" presId="urn:microsoft.com/office/officeart/2005/8/layout/list1"/>
    <dgm:cxn modelId="{FBED7AD4-0AD0-4673-B378-82AD4B943561}" type="presOf" srcId="{EBA04D88-DBC0-4EA9-B54C-6854FC608887}" destId="{6830A26B-BF72-4BCD-9D79-67C6FC0058EC}" srcOrd="0" destOrd="0" presId="urn:microsoft.com/office/officeart/2005/8/layout/list1"/>
    <dgm:cxn modelId="{036127EE-285C-4A84-8C10-DC27575284AF}" srcId="{81930821-A201-4904-AB62-F45FCD525214}" destId="{920DC626-C180-478B-A3AA-FF40F1D2B54B}" srcOrd="0" destOrd="0" parTransId="{33499168-963B-4382-BD8E-BAFA42B74D3A}" sibTransId="{BBBF897E-76CD-47D4-8B7C-B0F2C92418D3}"/>
    <dgm:cxn modelId="{ABF18285-8A95-4B88-84CD-1413A61FD4AE}" type="presOf" srcId="{C2DFC95D-5D81-45BC-A24E-9AC5A0F499E9}" destId="{423C912E-1B52-4688-A6AA-5323ED438DAB}" srcOrd="0" destOrd="0" presId="urn:microsoft.com/office/officeart/2005/8/layout/list1"/>
    <dgm:cxn modelId="{9110DA16-8F1D-49FA-B8E4-208A6CC9F349}" type="presOf" srcId="{920DC626-C180-478B-A3AA-FF40F1D2B54B}" destId="{E41F3B61-6AF5-46EF-94C9-66A66EE4363E}" srcOrd="1" destOrd="0" presId="urn:microsoft.com/office/officeart/2005/8/layout/list1"/>
    <dgm:cxn modelId="{37B1F6A9-9012-49D6-A6A1-9053BD691980}" srcId="{EBA04D88-DBC0-4EA9-B54C-6854FC608887}" destId="{C2DFC95D-5D81-45BC-A24E-9AC5A0F499E9}" srcOrd="0" destOrd="0" parTransId="{533C6249-DD59-4DF6-9DD2-49297DB8DCF0}" sibTransId="{E8ED1065-CDF5-480E-8B78-DEAB0085E60D}"/>
    <dgm:cxn modelId="{B99449ED-9C74-491C-BAB9-5B2A411DD022}" srcId="{920DC626-C180-478B-A3AA-FF40F1D2B54B}" destId="{1DA85787-33F3-41D6-A0CE-6CC7BFD068F1}" srcOrd="0" destOrd="0" parTransId="{7676C790-3199-4B10-9898-C72C90EBAA76}" sibTransId="{F4E8D964-6A75-48AC-934F-EB1C00BDB8B3}"/>
    <dgm:cxn modelId="{234BC185-EA5D-431F-95EA-D6E3A90C760E}" type="presOf" srcId="{B08B3AFB-F3FD-4A40-807D-450525A5011E}" destId="{DFB32C37-3B37-4AD1-A566-D4DC1381E69E}" srcOrd="0" destOrd="0" presId="urn:microsoft.com/office/officeart/2005/8/layout/list1"/>
    <dgm:cxn modelId="{3530C4D6-D03E-47A7-8862-4D56D3BB64C4}" type="presOf" srcId="{DDA50B48-93E8-44A2-A4C4-76E46FD5C949}" destId="{32095564-BD58-4C47-921E-AAD345260E4F}" srcOrd="0" destOrd="0" presId="urn:microsoft.com/office/officeart/2005/8/layout/list1"/>
    <dgm:cxn modelId="{11673C83-1B94-4485-903F-D5822D782865}" type="presOf" srcId="{DDA50B48-93E8-44A2-A4C4-76E46FD5C949}" destId="{BF72B423-06EE-4B15-AD45-F54B221A7397}" srcOrd="1" destOrd="0" presId="urn:microsoft.com/office/officeart/2005/8/layout/list1"/>
    <dgm:cxn modelId="{2C3375CC-B81A-4241-AF92-F36318FBBDAA}" type="presOf" srcId="{B08B3AFB-F3FD-4A40-807D-450525A5011E}" destId="{1BB631EB-9018-40DD-8FB3-EEB816E81022}" srcOrd="1" destOrd="0" presId="urn:microsoft.com/office/officeart/2005/8/layout/list1"/>
    <dgm:cxn modelId="{4F06D54D-AC63-4FA5-BB68-9E5EB21F07FE}" type="presParOf" srcId="{9B76B895-5689-429B-AD98-B2A6EBF3D0CF}" destId="{4B855189-65B1-4B61-B0A6-D3246F5C03B0}" srcOrd="0" destOrd="0" presId="urn:microsoft.com/office/officeart/2005/8/layout/list1"/>
    <dgm:cxn modelId="{41C4C1E6-9FDB-4440-878C-647B969B577C}" type="presParOf" srcId="{4B855189-65B1-4B61-B0A6-D3246F5C03B0}" destId="{BB016DB3-3F14-4D85-ADEF-76ABAEFCCEE7}" srcOrd="0" destOrd="0" presId="urn:microsoft.com/office/officeart/2005/8/layout/list1"/>
    <dgm:cxn modelId="{1712C74D-8A57-437A-AA70-B16BCC9D8972}" type="presParOf" srcId="{4B855189-65B1-4B61-B0A6-D3246F5C03B0}" destId="{E41F3B61-6AF5-46EF-94C9-66A66EE4363E}" srcOrd="1" destOrd="0" presId="urn:microsoft.com/office/officeart/2005/8/layout/list1"/>
    <dgm:cxn modelId="{454C704A-B9E0-43BC-9C0A-095EA99B45FD}" type="presParOf" srcId="{9B76B895-5689-429B-AD98-B2A6EBF3D0CF}" destId="{830A8100-1D58-467F-9840-6534D867F3F8}" srcOrd="1" destOrd="0" presId="urn:microsoft.com/office/officeart/2005/8/layout/list1"/>
    <dgm:cxn modelId="{15AA5537-AEF2-4B59-8F67-B65F800D6638}" type="presParOf" srcId="{9B76B895-5689-429B-AD98-B2A6EBF3D0CF}" destId="{9014DA55-D934-4551-9E19-61C2B42946D3}" srcOrd="2" destOrd="0" presId="urn:microsoft.com/office/officeart/2005/8/layout/list1"/>
    <dgm:cxn modelId="{6D3B326D-E6DE-4680-A056-1E545FFEF0A4}" type="presParOf" srcId="{9B76B895-5689-429B-AD98-B2A6EBF3D0CF}" destId="{4520586C-51B1-4F8A-B98E-669A0ACD1605}" srcOrd="3" destOrd="0" presId="urn:microsoft.com/office/officeart/2005/8/layout/list1"/>
    <dgm:cxn modelId="{CFA4F7A4-8191-4FF0-9E0D-5FCA2A19D88C}" type="presParOf" srcId="{9B76B895-5689-429B-AD98-B2A6EBF3D0CF}" destId="{9187081B-9DE4-4B16-AF10-D9EBAE81994A}" srcOrd="4" destOrd="0" presId="urn:microsoft.com/office/officeart/2005/8/layout/list1"/>
    <dgm:cxn modelId="{AA07638E-392A-49BC-8934-1F3A79FDED2F}" type="presParOf" srcId="{9187081B-9DE4-4B16-AF10-D9EBAE81994A}" destId="{6830A26B-BF72-4BCD-9D79-67C6FC0058EC}" srcOrd="0" destOrd="0" presId="urn:microsoft.com/office/officeart/2005/8/layout/list1"/>
    <dgm:cxn modelId="{CBB23000-9EF9-4B02-8F19-1C2F75149479}" type="presParOf" srcId="{9187081B-9DE4-4B16-AF10-D9EBAE81994A}" destId="{B4045342-CAFF-4B1F-BD9E-80A507F71BF4}" srcOrd="1" destOrd="0" presId="urn:microsoft.com/office/officeart/2005/8/layout/list1"/>
    <dgm:cxn modelId="{0F2B30F6-D148-4914-B33A-62D864B32472}" type="presParOf" srcId="{9B76B895-5689-429B-AD98-B2A6EBF3D0CF}" destId="{2DD991F4-2AA1-42F1-986E-16F2C3B44D12}" srcOrd="5" destOrd="0" presId="urn:microsoft.com/office/officeart/2005/8/layout/list1"/>
    <dgm:cxn modelId="{9496CD80-D84C-43F2-837F-AAD6097FEB1E}" type="presParOf" srcId="{9B76B895-5689-429B-AD98-B2A6EBF3D0CF}" destId="{423C912E-1B52-4688-A6AA-5323ED438DAB}" srcOrd="6" destOrd="0" presId="urn:microsoft.com/office/officeart/2005/8/layout/list1"/>
    <dgm:cxn modelId="{3F6D0D08-44EC-416C-8D2F-65D8A0483B57}" type="presParOf" srcId="{9B76B895-5689-429B-AD98-B2A6EBF3D0CF}" destId="{861D6AD4-FA36-414E-B531-E297C5F5AFA1}" srcOrd="7" destOrd="0" presId="urn:microsoft.com/office/officeart/2005/8/layout/list1"/>
    <dgm:cxn modelId="{83AB2A8D-D54F-4A42-B6F8-5D4CFEB4B4D8}" type="presParOf" srcId="{9B76B895-5689-429B-AD98-B2A6EBF3D0CF}" destId="{DBA3C65E-209E-4307-8C5A-C8FF87BA36BB}" srcOrd="8" destOrd="0" presId="urn:microsoft.com/office/officeart/2005/8/layout/list1"/>
    <dgm:cxn modelId="{AD4B33EC-A8D6-4F38-8C63-430A52080246}" type="presParOf" srcId="{DBA3C65E-209E-4307-8C5A-C8FF87BA36BB}" destId="{32095564-BD58-4C47-921E-AAD345260E4F}" srcOrd="0" destOrd="0" presId="urn:microsoft.com/office/officeart/2005/8/layout/list1"/>
    <dgm:cxn modelId="{491C924B-4ECC-4137-9938-BC989364B5B6}" type="presParOf" srcId="{DBA3C65E-209E-4307-8C5A-C8FF87BA36BB}" destId="{BF72B423-06EE-4B15-AD45-F54B221A7397}" srcOrd="1" destOrd="0" presId="urn:microsoft.com/office/officeart/2005/8/layout/list1"/>
    <dgm:cxn modelId="{34498DFE-5A62-472B-990E-E031C6ADB1AA}" type="presParOf" srcId="{9B76B895-5689-429B-AD98-B2A6EBF3D0CF}" destId="{2DC26D36-3B58-4805-BDD3-23004F052195}" srcOrd="9" destOrd="0" presId="urn:microsoft.com/office/officeart/2005/8/layout/list1"/>
    <dgm:cxn modelId="{202F844B-47AD-4736-99E4-BAFE6C997D4D}" type="presParOf" srcId="{9B76B895-5689-429B-AD98-B2A6EBF3D0CF}" destId="{90EE625E-220A-4DEF-A417-D0B2A288B900}" srcOrd="10" destOrd="0" presId="urn:microsoft.com/office/officeart/2005/8/layout/list1"/>
    <dgm:cxn modelId="{90584FB6-D971-4233-B883-EBC48AE080A4}" type="presParOf" srcId="{9B76B895-5689-429B-AD98-B2A6EBF3D0CF}" destId="{30CB652F-BC6B-423A-8629-EE6F2C6CA02C}" srcOrd="11" destOrd="0" presId="urn:microsoft.com/office/officeart/2005/8/layout/list1"/>
    <dgm:cxn modelId="{E6B2619B-9853-4A6F-B67A-9CD67E5ACCE3}" type="presParOf" srcId="{9B76B895-5689-429B-AD98-B2A6EBF3D0CF}" destId="{8A9C44E0-5A96-4666-B030-7AB6CB988568}" srcOrd="12" destOrd="0" presId="urn:microsoft.com/office/officeart/2005/8/layout/list1"/>
    <dgm:cxn modelId="{C121F64D-AE55-4416-8BD6-F2895A510C08}" type="presParOf" srcId="{8A9C44E0-5A96-4666-B030-7AB6CB988568}" destId="{DFB32C37-3B37-4AD1-A566-D4DC1381E69E}" srcOrd="0" destOrd="0" presId="urn:microsoft.com/office/officeart/2005/8/layout/list1"/>
    <dgm:cxn modelId="{9E9771FA-A9BB-4CC0-B674-70F1C091CEE7}" type="presParOf" srcId="{8A9C44E0-5A96-4666-B030-7AB6CB988568}" destId="{1BB631EB-9018-40DD-8FB3-EEB816E81022}" srcOrd="1" destOrd="0" presId="urn:microsoft.com/office/officeart/2005/8/layout/list1"/>
    <dgm:cxn modelId="{8B490BFA-73A9-4F89-A0D0-6572C7E584B4}" type="presParOf" srcId="{9B76B895-5689-429B-AD98-B2A6EBF3D0CF}" destId="{63B0164B-B541-4375-AB8F-19804D8CDF80}" srcOrd="13" destOrd="0" presId="urn:microsoft.com/office/officeart/2005/8/layout/list1"/>
    <dgm:cxn modelId="{51D75D32-34BD-44C0-874C-C741CE209858}" type="presParOf" srcId="{9B76B895-5689-429B-AD98-B2A6EBF3D0CF}" destId="{43AB3938-909A-4FDC-BFE4-655E4DFA7643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014DA55-D934-4551-9E19-61C2B42946D3}">
      <dsp:nvSpPr>
        <dsp:cNvPr id="0" name=""/>
        <dsp:cNvSpPr/>
      </dsp:nvSpPr>
      <dsp:spPr>
        <a:xfrm>
          <a:off x="0" y="163922"/>
          <a:ext cx="3219907" cy="705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9901" tIns="145796" rIns="249901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_______________,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_____________, _______________, _____________, _______________, _____________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63922"/>
        <a:ext cx="3219907" cy="705600"/>
      </dsp:txXfrm>
    </dsp:sp>
    <dsp:sp modelId="{E41F3B61-6AF5-46EF-94C9-66A66EE4363E}">
      <dsp:nvSpPr>
        <dsp:cNvPr id="0" name=""/>
        <dsp:cNvSpPr/>
      </dsp:nvSpPr>
      <dsp:spPr>
        <a:xfrm>
          <a:off x="160995" y="60602"/>
          <a:ext cx="2253935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193" tIns="0" rIns="8519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ТЭС</a:t>
          </a:r>
        </a:p>
      </dsp:txBody>
      <dsp:txXfrm>
        <a:off x="160995" y="60602"/>
        <a:ext cx="2253935" cy="206640"/>
      </dsp:txXfrm>
    </dsp:sp>
    <dsp:sp modelId="{423C912E-1B52-4688-A6AA-5323ED438DAB}">
      <dsp:nvSpPr>
        <dsp:cNvPr id="0" name=""/>
        <dsp:cNvSpPr/>
      </dsp:nvSpPr>
      <dsp:spPr>
        <a:xfrm>
          <a:off x="0" y="1010642"/>
          <a:ext cx="3219907" cy="661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9901" tIns="145796" rIns="249901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_______________,</a:t>
          </a:r>
          <a:r>
            <a:rPr lang="ru-RU" sz="1100" kern="1200" baseline="0">
              <a:latin typeface="Times New Roman" pitchFamily="18" charset="0"/>
              <a:cs typeface="Times New Roman" pitchFamily="18" charset="0"/>
            </a:rPr>
            <a:t> _____________, _______________, _____________, _______________, _____________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0" y="1010642"/>
        <a:ext cx="3219907" cy="661500"/>
      </dsp:txXfrm>
    </dsp:sp>
    <dsp:sp modelId="{B4045342-CAFF-4B1F-BD9E-80A507F71BF4}">
      <dsp:nvSpPr>
        <dsp:cNvPr id="0" name=""/>
        <dsp:cNvSpPr/>
      </dsp:nvSpPr>
      <dsp:spPr>
        <a:xfrm>
          <a:off x="160995" y="907322"/>
          <a:ext cx="2253935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193" tIns="0" rIns="8519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ГЭС </a:t>
          </a:r>
        </a:p>
      </dsp:txBody>
      <dsp:txXfrm>
        <a:off x="160995" y="907322"/>
        <a:ext cx="2253935" cy="206640"/>
      </dsp:txXfrm>
    </dsp:sp>
    <dsp:sp modelId="{90EE625E-220A-4DEF-A417-D0B2A288B900}">
      <dsp:nvSpPr>
        <dsp:cNvPr id="0" name=""/>
        <dsp:cNvSpPr/>
      </dsp:nvSpPr>
      <dsp:spPr>
        <a:xfrm>
          <a:off x="0" y="1813262"/>
          <a:ext cx="3219907" cy="5512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9901" tIns="145796" rIns="249901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______________, _____________, ______________, _____________.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813262"/>
        <a:ext cx="3219907" cy="551250"/>
      </dsp:txXfrm>
    </dsp:sp>
    <dsp:sp modelId="{BF72B423-06EE-4B15-AD45-F54B221A7397}">
      <dsp:nvSpPr>
        <dsp:cNvPr id="0" name=""/>
        <dsp:cNvSpPr/>
      </dsp:nvSpPr>
      <dsp:spPr>
        <a:xfrm>
          <a:off x="160995" y="1709942"/>
          <a:ext cx="2253935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193" tIns="0" rIns="8519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АЭС</a:t>
          </a:r>
        </a:p>
      </dsp:txBody>
      <dsp:txXfrm>
        <a:off x="160995" y="1709942"/>
        <a:ext cx="2253935" cy="206640"/>
      </dsp:txXfrm>
    </dsp:sp>
    <dsp:sp modelId="{43AB3938-909A-4FDC-BFE4-655E4DFA7643}">
      <dsp:nvSpPr>
        <dsp:cNvPr id="0" name=""/>
        <dsp:cNvSpPr/>
      </dsp:nvSpPr>
      <dsp:spPr>
        <a:xfrm>
          <a:off x="0" y="2505632"/>
          <a:ext cx="3219907" cy="1984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9901" tIns="145796" rIns="249901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Геотермальную энергию активно используют в __________, __________, Японии, Китае, США, Новой Зеландии. Ветровые электростанции (ВЭС): __________, ____________, Дания, Норвегия, Испания. Солнечные электростанции (СЭС): _________, ___________, Израиль, Кипр, Турция. Приливные электростанции (ПЭС): _________, ____________, США, Китай, Индия, Южная Корея.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505632"/>
        <a:ext cx="3219907" cy="1984500"/>
      </dsp:txXfrm>
    </dsp:sp>
    <dsp:sp modelId="{1BB631EB-9018-40DD-8FB3-EEB816E81022}">
      <dsp:nvSpPr>
        <dsp:cNvPr id="0" name=""/>
        <dsp:cNvSpPr/>
      </dsp:nvSpPr>
      <dsp:spPr>
        <a:xfrm>
          <a:off x="160995" y="2402312"/>
          <a:ext cx="2253935" cy="2066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193" tIns="0" rIns="8519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Альтернативные </a:t>
          </a:r>
        </a:p>
      </dsp:txBody>
      <dsp:txXfrm>
        <a:off x="160995" y="2402312"/>
        <a:ext cx="2253935" cy="206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0D1F2-B1DB-4C1A-BAAF-49817FFD4DAF}"/>
</file>

<file path=customXml/itemProps2.xml><?xml version="1.0" encoding="utf-8"?>
<ds:datastoreItem xmlns:ds="http://schemas.openxmlformats.org/officeDocument/2006/customXml" ds:itemID="{1F658CDB-34D8-4D9B-BE58-EAC3781B3F13}"/>
</file>

<file path=customXml/itemProps3.xml><?xml version="1.0" encoding="utf-8"?>
<ds:datastoreItem xmlns:ds="http://schemas.openxmlformats.org/officeDocument/2006/customXml" ds:itemID="{586EE71D-20DF-42D5-9E86-D155A8B39F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2</cp:revision>
  <dcterms:created xsi:type="dcterms:W3CDTF">2022-02-27T18:33:00Z</dcterms:created>
  <dcterms:modified xsi:type="dcterms:W3CDTF">2022-02-27T18:33:00Z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