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BD94663780CC4592C30795F5EDD890" ma:contentTypeVersion="49" ma:contentTypeDescription="Создание документа." ma:contentTypeScope="" ma:versionID="789203b67c6c66a44525890a253184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327EC-C874-4FF0-9C3C-636997941E79}"/>
</file>

<file path=customXml/itemProps2.xml><?xml version="1.0" encoding="utf-8"?>
<ds:datastoreItem xmlns:ds="http://schemas.openxmlformats.org/officeDocument/2006/customXml" ds:itemID="{2710214C-DE83-4528-B3C7-262256DE1E16}"/>
</file>

<file path=customXml/itemProps3.xml><?xml version="1.0" encoding="utf-8"?>
<ds:datastoreItem xmlns:ds="http://schemas.openxmlformats.org/officeDocument/2006/customXml" ds:itemID="{86C90928-98EE-4130-9309-AD52B876DB5C}"/>
</file>

<file path=customXml/itemProps4.xml><?xml version="1.0" encoding="utf-8"?>
<ds:datastoreItem xmlns:ds="http://schemas.openxmlformats.org/officeDocument/2006/customXml" ds:itemID="{80971544-F5EA-4A78-A657-7F78083EB4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0x0101006EBD94663780CC4592C30795F5EDD890</vt:lpwstr>
  </property>
</Properties>
</file>