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F5" w:rsidRDefault="00A14A9E" w:rsidP="00A14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внедрен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ием ФГОС нового поколения в МКОУ </w:t>
      </w:r>
      <w:r w:rsidR="00F451F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средней школе №2 г. Макарьева</w:t>
      </w:r>
    </w:p>
    <w:p w:rsidR="00F451F5" w:rsidRDefault="00F451F5" w:rsidP="00F4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Поляшова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Калиста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Николаевна</w:t>
      </w:r>
    </w:p>
    <w:p w:rsidR="00F451F5" w:rsidRPr="002A5F7D" w:rsidRDefault="00F451F5" w:rsidP="00F4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МКОУ средняя общеобразовательная школа №2г. Макарьева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Макарьевского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муниципального района 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остромской обл.</w:t>
      </w:r>
    </w:p>
    <w:p w:rsidR="00A14A9E" w:rsidRDefault="00A14A9E" w:rsidP="00F4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451F5" w:rsidRPr="004F7473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сегодня  ФГОС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поколения является средством для системных обновлений образования.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школе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подготовка к реализации Стандартов была начата с диагностики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готовности образовательного учреждения к данной деятельности.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Первоначально был создан совет по внедрению ФГОС</w:t>
      </w:r>
      <w:r w:rsidRPr="00B465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поколения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миссия которого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заключается в том, чтобы обеспечивать координацию действий всего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педагогического коллектива, отвечать за информационное, научно-методическое, экспертное сопровождение процесса, утверждать проекты,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планы-графики изменений, стимулировать деятельность работников, разрешать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возможные конфликты.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Далее была сформирована рабочая группа по разработке программы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изменений и дополнений образовательной системы школы. По необходимости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рабочая группа формировала и формирует временные </w:t>
      </w:r>
      <w:proofErr w:type="spell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микрогруппы</w:t>
      </w:r>
      <w:proofErr w:type="spell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для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решения конкретных задач. 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F1F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целях организации деятельности рабочих групп приводилась в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соответствие нормативная база ОУ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Таким образом, одним из результатов организационно-управленческого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шага стала Основная образовательная программа начального общего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 МКОУ средней школы №2 г. Макарьева.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Многие разделы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программы взяты без изменений за основу из примерной ООП, так как в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школах на данный момент недостаточно научного ресурса для написания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собственного оригинального продукта.</w:t>
      </w:r>
      <w:proofErr w:type="gram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Однако есть разделы, которые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отражают индивидуальность нашего образовательного учреждения.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При разработке 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учебного плана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включающего инвариантную, вариативную часть и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внеурочную деятельность мы анализировали следующее: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статус образовательного учреждения (выбор приоритетов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образования в данном образовательном учреждении);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предметы в образовательном плане, представляющие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компонент, находящийся в ведении ОУ. Соответствуют ли они типу,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виду, целям и задачам учебного заведения?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будут изучаться предметы вариативной составляющей –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самостоятельно или интегративно?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Какие направления внеурочной деятельности реализуются в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образовательном учреждении и насколько эффективно?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Какие новые курсы, кружки, виды деятельности (игровая,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проектная, исследовательская или др.) должны быть введены в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образовательный план школы?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Какие формы работы будут использоваться при организации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неаудиторной занятости </w:t>
      </w:r>
      <w:proofErr w:type="gram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?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Обеспечена ли реализация образовательного плана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необходимыми ресурсами?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разработке модели внеурочной деятельности было проведено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изучение основных документов по организации внеурочной деятельности и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соотнесение: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насколько избранные направления, формы и виды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деятельности способствуют реализации цел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ей и задач школы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>-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какие направления, формы и виды внеурочной деятельности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можно осуществлять непрерывно от начальной школы до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старшей на базе школы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Был проведён анализ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творческого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потенциала учителей, родителей;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5F7D">
        <w:rPr>
          <w:rFonts w:ascii="Times New Roman" w:eastAsia="Wingdings2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материально-технических возможностей образовательного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учреждения и пути их совершенствования;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- эффективность и </w:t>
      </w:r>
      <w:proofErr w:type="spell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востребованность</w:t>
      </w:r>
      <w:proofErr w:type="spell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для обучающихся уже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имеющихся курсов, спе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цкурсов, кружков, секций и т.д.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-возмож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ности социальных партнеров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организации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внеурочной деятельности учащихся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F451F5" w:rsidRPr="002A5F7D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Разработан план управления введением ФГОС, в план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внутришкольного</w:t>
      </w:r>
      <w:proofErr w:type="spell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контроля внесены необходимые коррективы.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управления рисками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допущен к реализации план методической работы, целью которого является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создание системы научно – методической работы по формированию готовности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педагогов и других участн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иков образовательного процесса,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внедрение Стандартов.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Сегодня учитель, воспитатель, социал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ьный педагог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только при обучении детей должен уметь создавать учебные ситуации,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обеспечивать интегрированное обучение, вводить технологию «</w:t>
      </w:r>
      <w:proofErr w:type="spell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Портфолио</w:t>
      </w:r>
      <w:proofErr w:type="spell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»,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проектную деятельность, проблемное обучение, ИКТ, но и, организуя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собственное обучение через всю жизнь, пользоваться такими технологиями как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Фоку</w:t>
      </w:r>
      <w:proofErr w:type="gram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с-</w:t>
      </w:r>
      <w:proofErr w:type="gram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а, Кейс- метод, Мастер- класс и т.д.</w:t>
      </w:r>
      <w:r w:rsidRPr="009273E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Такое внимание к роли учителя требует эффективного управления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кадровым ресурсом. В школе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это и вн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утрифирменная учёба учителей,  и курсы повышения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квалификации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базе КОИРО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proofErr w:type="gram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руководство исследовательской деятельностью педагога, 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конкурсное движение.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Сегодняшнее со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стояние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работы требует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нашего обращения к органам управления образованием. Необходимо учесть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нормативно-правовой и финансовый фактор. Нужны чёткие планы действий,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конкретные, </w:t>
      </w:r>
      <w:proofErr w:type="spellStart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операциональные</w:t>
      </w:r>
      <w:proofErr w:type="spellEnd"/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инструкции и указания, нужна финансовая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поддержка школам, учителям, чтобы мы, на сегодняшний день, основные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«владельцы проблемы», смогли эффективно реагировать на запросы личности,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в свою очередь позволит ребёнку системно подниматься по</w:t>
      </w:r>
      <w:r w:rsidR="00A14A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A5F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«лестнице успеха» и активно выстраивать себя в социальной среде.</w:t>
      </w: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451F5" w:rsidRDefault="00F451F5" w:rsidP="00A14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43053" w:rsidRDefault="00543053" w:rsidP="00A14A9E">
      <w:pPr>
        <w:jc w:val="both"/>
      </w:pPr>
      <w:bookmarkStart w:id="0" w:name="_GoBack"/>
      <w:bookmarkEnd w:id="0"/>
    </w:p>
    <w:sectPr w:rsidR="00543053" w:rsidSect="00AF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4F2"/>
    <w:rsid w:val="00543053"/>
    <w:rsid w:val="007C74F2"/>
    <w:rsid w:val="00A14A9E"/>
    <w:rsid w:val="00AF15AD"/>
    <w:rsid w:val="00F4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AWJJH2MPE6E2-1178757271-67</_dlc_DocId>
    <_dlc_DocIdUrl xmlns="4a252ca3-5a62-4c1c-90a6-29f4710e47f8">
      <Url>http://edu-sps.koiro.local/koiro/august_konf/fgos-avgust2012/_layouts/15/DocIdRedir.aspx?ID=AWJJH2MPE6E2-1178757271-67</Url>
      <Description>AWJJH2MPE6E2-1178757271-67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B26A9C58D084289797CD727815691" ma:contentTypeVersion="49" ma:contentTypeDescription="Создание документа." ma:contentTypeScope="" ma:versionID="8c7138cc0c9f178704bbee185ed4a6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A3FFF6D-576F-44B8-B9E4-49A8A3510579}"/>
</file>

<file path=customXml/itemProps2.xml><?xml version="1.0" encoding="utf-8"?>
<ds:datastoreItem xmlns:ds="http://schemas.openxmlformats.org/officeDocument/2006/customXml" ds:itemID="{DA189C05-93AE-49D6-AAED-B1AE578AF87F}"/>
</file>

<file path=customXml/itemProps3.xml><?xml version="1.0" encoding="utf-8"?>
<ds:datastoreItem xmlns:ds="http://schemas.openxmlformats.org/officeDocument/2006/customXml" ds:itemID="{ACBC69CA-8573-4EDF-B836-B1A39C6BC5F8}"/>
</file>

<file path=customXml/itemProps4.xml><?xml version="1.0" encoding="utf-8"?>
<ds:datastoreItem xmlns:ds="http://schemas.openxmlformats.org/officeDocument/2006/customXml" ds:itemID="{FF24CE69-8C44-4C97-B824-EC8C97A44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4104</Characters>
  <Application>Microsoft Office Word</Application>
  <DocSecurity>0</DocSecurity>
  <Lines>34</Lines>
  <Paragraphs>9</Paragraphs>
  <ScaleCrop>false</ScaleCrop>
  <Company>---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2012-08-22T12:25:00Z</dcterms:created>
  <dcterms:modified xsi:type="dcterms:W3CDTF">2012-08-22T12:25:00Z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0x01010001CB26A9C58D084289797CD727815691</vt:lpwstr>
  </property>
  <property fmtid="{D5CDD505-2E9C-101B-9397-08002B2CF9AE}" pid="3" name="_dlc_DocIdItemGuid">
    <vt:lpwstr>80ed5f2b-1dfe-46a2-baa2-5572097d33d9</vt:lpwstr>
  </property>
</Properties>
</file>