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C721E706B47D4F9B1E7D8CB10D930F" ma:contentTypeVersion="2" ma:contentTypeDescription="Создание документа." ma:contentTypeScope="" ma:versionID="14ce6b18bd1912cf03f10b97d4039e75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YP6M6QQTSDJS-1782267560-137</_dlc_DocId>
    <_dlc_DocIdUrl xmlns="d32342ac-3956-43d4-8837-a8f9df1a246e">
      <Url>http://xn--44-6kcadhwnl3cfdx.xn--p1ai/kady/dot/_layouts/15/DocIdRedir.aspx?ID=YP6M6QQTSDJS-1782267560-137</Url>
      <Description>YP6M6QQTSDJS-1782267560-137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932222-1A3D-4E2C-B1B2-6D13F1FD21E1}"/>
</file>

<file path=customXml/itemProps2.xml><?xml version="1.0" encoding="utf-8"?>
<ds:datastoreItem xmlns:ds="http://schemas.openxmlformats.org/officeDocument/2006/customXml" ds:itemID="{3A6B6919-361F-4B1C-BA67-7B32D762DD56}"/>
</file>

<file path=customXml/itemProps3.xml><?xml version="1.0" encoding="utf-8"?>
<ds:datastoreItem xmlns:ds="http://schemas.openxmlformats.org/officeDocument/2006/customXml" ds:itemID="{9E78238D-8F17-4806-BAA1-3F978EE3E617}"/>
</file>

<file path=customXml/itemProps4.xml><?xml version="1.0" encoding="utf-8"?>
<ds:datastoreItem xmlns:ds="http://schemas.openxmlformats.org/officeDocument/2006/customXml" ds:itemID="{6F752AFB-B13C-432E-A140-6C5606001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0x0101002DC721E706B47D4F9B1E7D8CB10D930F</vt:lpwstr>
  </property>
  <property fmtid="{D5CDD505-2E9C-101B-9397-08002B2CF9AE}" pid="3" name="_dlc_DocIdItemGuid">
    <vt:lpwstr>496d8f68-b8ed-4fb1-b0f4-b3ce304055e6</vt:lpwstr>
  </property>
</Properties>
</file>