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YP6M6QQTSDJS-1268875295-1490</_dlc_DocId>
    <_dlc_DocIdUrl xmlns="d32342ac-3956-43d4-8837-a8f9df1a246e">
      <Url>http://www.eduportal44.ru/kady/Kadyisch/_layouts/15/DocIdRedir.aspx?ID=YP6M6QQTSDJS-1268875295-1490</Url>
      <Description>YP6M6QQTSDJS-1268875295-1490</Description>
    </_dlc_DocIdUrl>
  </documentManagement>
</p:properties>
</file>

<file path=customXml/itemProps1.xml><?xml version="1.0" encoding="utf-8"?>
<ds:datastoreItem xmlns:ds="http://schemas.openxmlformats.org/officeDocument/2006/customXml" ds:itemID="{35E1A183-32BB-4387-923C-DD72D80E2F22}"/>
</file>

<file path=customXml/itemProps2.xml><?xml version="1.0" encoding="utf-8"?>
<ds:datastoreItem xmlns:ds="http://schemas.openxmlformats.org/officeDocument/2006/customXml" ds:itemID="{4F0E70EB-EB4C-4318-A520-53A1A372CCED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EC4858F3-67E4-4BB7-918B-12A7F46D6709}"/>
</file>

<file path=customXml/itemProps5.xml><?xml version="1.0" encoding="utf-8"?>
<ds:datastoreItem xmlns:ds="http://schemas.openxmlformats.org/officeDocument/2006/customXml" ds:itemID="{3B3A7A1E-ECCB-4B53-AE6B-0BC7B2BA3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382e4891-acc5-43f4-9167-af6f78fd5286</vt:lpwstr>
  </property>
</Properties>
</file>