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4C" w:rsidRPr="00613498" w:rsidRDefault="00613498" w:rsidP="00613498">
      <w:pPr>
        <w:jc w:val="center"/>
        <w:rPr>
          <w:sz w:val="28"/>
          <w:szCs w:val="28"/>
        </w:rPr>
      </w:pPr>
      <w:r w:rsidRPr="00613498">
        <w:rPr>
          <w:sz w:val="28"/>
          <w:szCs w:val="28"/>
        </w:rPr>
        <w:t>Выписка</w:t>
      </w:r>
    </w:p>
    <w:p w:rsidR="00613498" w:rsidRDefault="00613498" w:rsidP="0061349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8"/>
          <w:szCs w:val="28"/>
        </w:rPr>
      </w:pPr>
      <w:r w:rsidRPr="00613498">
        <w:rPr>
          <w:sz w:val="28"/>
          <w:szCs w:val="28"/>
        </w:rPr>
        <w:t xml:space="preserve">из Положения </w:t>
      </w:r>
      <w:r w:rsidRPr="00613498">
        <w:rPr>
          <w:rFonts w:eastAsia="Times New Roman" w:cs="Times New Roman"/>
          <w:bCs/>
          <w:sz w:val="28"/>
          <w:szCs w:val="28"/>
        </w:rPr>
        <w:t xml:space="preserve">о </w:t>
      </w:r>
      <w:r w:rsidRPr="00613498">
        <w:rPr>
          <w:rFonts w:eastAsia="Times New Roman" w:cs="Times New Roman"/>
          <w:bCs/>
          <w:spacing w:val="-1"/>
          <w:sz w:val="28"/>
          <w:szCs w:val="28"/>
        </w:rPr>
        <w:t>в</w:t>
      </w:r>
      <w:r w:rsidRPr="00613498">
        <w:rPr>
          <w:rFonts w:eastAsia="Times New Roman" w:cs="Times New Roman"/>
          <w:bCs/>
          <w:spacing w:val="1"/>
          <w:sz w:val="28"/>
          <w:szCs w:val="28"/>
        </w:rPr>
        <w:t>ы</w:t>
      </w:r>
      <w:r w:rsidRPr="00613498">
        <w:rPr>
          <w:rFonts w:eastAsia="Times New Roman" w:cs="Times New Roman"/>
          <w:bCs/>
          <w:spacing w:val="-1"/>
          <w:sz w:val="28"/>
          <w:szCs w:val="28"/>
        </w:rPr>
        <w:t>п</w:t>
      </w:r>
      <w:r w:rsidRPr="00613498">
        <w:rPr>
          <w:rFonts w:eastAsia="Times New Roman" w:cs="Times New Roman"/>
          <w:bCs/>
          <w:spacing w:val="1"/>
          <w:sz w:val="28"/>
          <w:szCs w:val="28"/>
        </w:rPr>
        <w:t>л</w:t>
      </w:r>
      <w:r w:rsidRPr="00613498">
        <w:rPr>
          <w:rFonts w:eastAsia="Times New Roman" w:cs="Times New Roman"/>
          <w:bCs/>
          <w:sz w:val="28"/>
          <w:szCs w:val="28"/>
        </w:rPr>
        <w:t>а</w:t>
      </w:r>
      <w:r w:rsidRPr="00613498">
        <w:rPr>
          <w:rFonts w:eastAsia="Times New Roman" w:cs="Times New Roman"/>
          <w:bCs/>
          <w:spacing w:val="1"/>
          <w:sz w:val="28"/>
          <w:szCs w:val="28"/>
        </w:rPr>
        <w:t>т</w:t>
      </w:r>
      <w:r w:rsidRPr="00613498">
        <w:rPr>
          <w:rFonts w:eastAsia="Times New Roman" w:cs="Times New Roman"/>
          <w:bCs/>
          <w:sz w:val="28"/>
          <w:szCs w:val="28"/>
        </w:rPr>
        <w:t>ах ст</w:t>
      </w:r>
      <w:r w:rsidRPr="00613498">
        <w:rPr>
          <w:rFonts w:eastAsia="Times New Roman" w:cs="Times New Roman"/>
          <w:bCs/>
          <w:spacing w:val="1"/>
          <w:sz w:val="28"/>
          <w:szCs w:val="28"/>
        </w:rPr>
        <w:t>и</w:t>
      </w:r>
      <w:r w:rsidRPr="00613498">
        <w:rPr>
          <w:rFonts w:eastAsia="Times New Roman" w:cs="Times New Roman"/>
          <w:bCs/>
          <w:spacing w:val="-1"/>
          <w:sz w:val="28"/>
          <w:szCs w:val="28"/>
        </w:rPr>
        <w:t>м</w:t>
      </w:r>
      <w:r w:rsidRPr="00613498">
        <w:rPr>
          <w:rFonts w:eastAsia="Times New Roman" w:cs="Times New Roman"/>
          <w:bCs/>
          <w:spacing w:val="-2"/>
          <w:sz w:val="28"/>
          <w:szCs w:val="28"/>
        </w:rPr>
        <w:t>у</w:t>
      </w:r>
      <w:r w:rsidRPr="00613498">
        <w:rPr>
          <w:rFonts w:eastAsia="Times New Roman" w:cs="Times New Roman"/>
          <w:bCs/>
          <w:spacing w:val="1"/>
          <w:sz w:val="28"/>
          <w:szCs w:val="28"/>
        </w:rPr>
        <w:t>ли</w:t>
      </w:r>
      <w:r w:rsidRPr="00613498">
        <w:rPr>
          <w:rFonts w:eastAsia="Times New Roman" w:cs="Times New Roman"/>
          <w:bCs/>
          <w:sz w:val="28"/>
          <w:szCs w:val="28"/>
        </w:rPr>
        <w:t>р</w:t>
      </w:r>
      <w:r w:rsidRPr="00613498">
        <w:rPr>
          <w:rFonts w:eastAsia="Times New Roman" w:cs="Times New Roman"/>
          <w:bCs/>
          <w:spacing w:val="-2"/>
          <w:sz w:val="28"/>
          <w:szCs w:val="28"/>
        </w:rPr>
        <w:t>у</w:t>
      </w:r>
      <w:r w:rsidRPr="00613498">
        <w:rPr>
          <w:rFonts w:eastAsia="Times New Roman" w:cs="Times New Roman"/>
          <w:bCs/>
          <w:sz w:val="28"/>
          <w:szCs w:val="28"/>
        </w:rPr>
        <w:t>юще</w:t>
      </w:r>
      <w:r w:rsidRPr="00613498">
        <w:rPr>
          <w:rFonts w:eastAsia="Times New Roman" w:cs="Times New Roman"/>
          <w:bCs/>
          <w:spacing w:val="1"/>
          <w:sz w:val="28"/>
          <w:szCs w:val="28"/>
        </w:rPr>
        <w:t>г</w:t>
      </w:r>
      <w:r w:rsidRPr="00613498">
        <w:rPr>
          <w:rFonts w:eastAsia="Times New Roman" w:cs="Times New Roman"/>
          <w:bCs/>
          <w:sz w:val="28"/>
          <w:szCs w:val="28"/>
        </w:rPr>
        <w:t xml:space="preserve">о и компенсационного  </w:t>
      </w:r>
      <w:r w:rsidRPr="00613498">
        <w:rPr>
          <w:rFonts w:eastAsia="Times New Roman" w:cs="Times New Roman"/>
          <w:bCs/>
          <w:spacing w:val="2"/>
          <w:sz w:val="28"/>
          <w:szCs w:val="28"/>
        </w:rPr>
        <w:t>х</w:t>
      </w:r>
      <w:r w:rsidRPr="00613498">
        <w:rPr>
          <w:rFonts w:eastAsia="Times New Roman" w:cs="Times New Roman"/>
          <w:bCs/>
          <w:sz w:val="28"/>
          <w:szCs w:val="28"/>
        </w:rPr>
        <w:t>ара</w:t>
      </w:r>
      <w:r w:rsidRPr="00613498">
        <w:rPr>
          <w:rFonts w:eastAsia="Times New Roman" w:cs="Times New Roman"/>
          <w:bCs/>
          <w:spacing w:val="1"/>
          <w:sz w:val="28"/>
          <w:szCs w:val="28"/>
        </w:rPr>
        <w:t>к</w:t>
      </w:r>
      <w:r w:rsidRPr="00613498">
        <w:rPr>
          <w:rFonts w:eastAsia="Times New Roman" w:cs="Times New Roman"/>
          <w:bCs/>
          <w:spacing w:val="-1"/>
          <w:sz w:val="28"/>
          <w:szCs w:val="28"/>
        </w:rPr>
        <w:t>т</w:t>
      </w:r>
      <w:r w:rsidRPr="00613498">
        <w:rPr>
          <w:rFonts w:eastAsia="Times New Roman" w:cs="Times New Roman"/>
          <w:bCs/>
          <w:spacing w:val="2"/>
          <w:sz w:val="28"/>
          <w:szCs w:val="28"/>
        </w:rPr>
        <w:t>е</w:t>
      </w:r>
      <w:r w:rsidRPr="00613498">
        <w:rPr>
          <w:rFonts w:eastAsia="Times New Roman" w:cs="Times New Roman"/>
          <w:bCs/>
          <w:spacing w:val="-2"/>
          <w:sz w:val="28"/>
          <w:szCs w:val="28"/>
        </w:rPr>
        <w:t>р</w:t>
      </w:r>
      <w:r w:rsidRPr="00613498">
        <w:rPr>
          <w:rFonts w:eastAsia="Times New Roman" w:cs="Times New Roman"/>
          <w:bCs/>
          <w:sz w:val="28"/>
          <w:szCs w:val="28"/>
        </w:rPr>
        <w:t xml:space="preserve">а </w:t>
      </w:r>
      <w:r w:rsidRPr="00613498">
        <w:rPr>
          <w:rFonts w:eastAsia="Times New Roman" w:cs="Times New Roman"/>
          <w:bCs/>
          <w:spacing w:val="-2"/>
          <w:sz w:val="28"/>
          <w:szCs w:val="28"/>
        </w:rPr>
        <w:t>р</w:t>
      </w:r>
      <w:r w:rsidRPr="00613498">
        <w:rPr>
          <w:rFonts w:eastAsia="Times New Roman" w:cs="Times New Roman"/>
          <w:bCs/>
          <w:spacing w:val="2"/>
          <w:sz w:val="28"/>
          <w:szCs w:val="28"/>
        </w:rPr>
        <w:t>а</w:t>
      </w:r>
      <w:r w:rsidRPr="00613498">
        <w:rPr>
          <w:rFonts w:eastAsia="Times New Roman" w:cs="Times New Roman"/>
          <w:bCs/>
          <w:spacing w:val="-2"/>
          <w:sz w:val="28"/>
          <w:szCs w:val="28"/>
        </w:rPr>
        <w:t>бо</w:t>
      </w:r>
      <w:r w:rsidRPr="00613498">
        <w:rPr>
          <w:rFonts w:eastAsia="Times New Roman" w:cs="Times New Roman"/>
          <w:bCs/>
          <w:spacing w:val="1"/>
          <w:sz w:val="28"/>
          <w:szCs w:val="28"/>
        </w:rPr>
        <w:t>тник</w:t>
      </w:r>
      <w:r w:rsidRPr="00613498">
        <w:rPr>
          <w:rFonts w:eastAsia="Times New Roman" w:cs="Times New Roman"/>
          <w:bCs/>
          <w:spacing w:val="2"/>
          <w:sz w:val="28"/>
          <w:szCs w:val="28"/>
        </w:rPr>
        <w:t>а</w:t>
      </w:r>
      <w:r w:rsidRPr="00613498">
        <w:rPr>
          <w:rFonts w:eastAsia="Times New Roman" w:cs="Times New Roman"/>
          <w:bCs/>
          <w:sz w:val="28"/>
          <w:szCs w:val="28"/>
        </w:rPr>
        <w:t>м</w:t>
      </w:r>
      <w:r w:rsidRPr="00613498">
        <w:rPr>
          <w:rFonts w:eastAsia="Times New Roman" w:cs="Times New Roman"/>
          <w:sz w:val="28"/>
          <w:szCs w:val="28"/>
        </w:rPr>
        <w:t xml:space="preserve"> Муниципального  общеобразовательного учреждения              </w:t>
      </w:r>
      <w:proofErr w:type="spellStart"/>
      <w:r w:rsidRPr="00613498">
        <w:rPr>
          <w:rFonts w:eastAsia="Times New Roman" w:cs="Times New Roman"/>
          <w:sz w:val="28"/>
          <w:szCs w:val="28"/>
        </w:rPr>
        <w:t>Фадеевской</w:t>
      </w:r>
      <w:proofErr w:type="spellEnd"/>
      <w:r w:rsidRPr="00613498">
        <w:rPr>
          <w:rFonts w:eastAsia="Times New Roman" w:cs="Times New Roman"/>
          <w:sz w:val="28"/>
          <w:szCs w:val="28"/>
        </w:rPr>
        <w:t xml:space="preserve"> начальной общеобразовательной школы</w:t>
      </w:r>
    </w:p>
    <w:p w:rsidR="00613498" w:rsidRDefault="00613498" w:rsidP="0061349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613498" w:rsidRPr="00613498" w:rsidRDefault="00613498" w:rsidP="00613498">
      <w:pPr>
        <w:ind w:left="363"/>
        <w:rPr>
          <w:rFonts w:eastAsia="Times New Roman" w:cs="Times New Roman"/>
          <w:sz w:val="28"/>
          <w:szCs w:val="28"/>
        </w:rPr>
      </w:pPr>
      <w:r w:rsidRPr="00613498">
        <w:rPr>
          <w:rFonts w:eastAsia="Times New Roman" w:cs="Times New Roman"/>
          <w:bCs/>
          <w:iCs/>
          <w:sz w:val="28"/>
          <w:szCs w:val="28"/>
          <w:lang w:val="en-US"/>
        </w:rPr>
        <w:t>III</w:t>
      </w:r>
      <w:r w:rsidRPr="00613498">
        <w:rPr>
          <w:rFonts w:eastAsia="Times New Roman" w:cs="Times New Roman"/>
          <w:bCs/>
          <w:iCs/>
          <w:sz w:val="28"/>
          <w:szCs w:val="28"/>
        </w:rPr>
        <w:t>. Выплаты компенсационного характера.</w:t>
      </w:r>
    </w:p>
    <w:p w:rsidR="00613498" w:rsidRPr="00613498" w:rsidRDefault="00613498" w:rsidP="00613498">
      <w:pPr>
        <w:rPr>
          <w:rFonts w:eastAsia="Times New Roman" w:cs="Times New Roman"/>
          <w:sz w:val="28"/>
          <w:szCs w:val="28"/>
        </w:rPr>
      </w:pPr>
      <w:r w:rsidRPr="00613498">
        <w:rPr>
          <w:rFonts w:eastAsia="Times New Roman" w:cs="Times New Roman"/>
          <w:color w:val="000000"/>
          <w:sz w:val="28"/>
          <w:szCs w:val="28"/>
        </w:rPr>
        <w:t xml:space="preserve">         Выплаты компенсационного характера устанавливаются в процентном отношении или в виде коэффициентов к должностным окладам работников, а также в абсолютном размере.</w:t>
      </w:r>
    </w:p>
    <w:p w:rsidR="00613498" w:rsidRPr="00613498" w:rsidRDefault="00613498" w:rsidP="00613498">
      <w:pPr>
        <w:ind w:hanging="1080"/>
        <w:outlineLvl w:val="4"/>
        <w:rPr>
          <w:rFonts w:eastAsia="Times New Roman" w:cs="Times New Roman"/>
          <w:iCs/>
          <w:sz w:val="28"/>
          <w:szCs w:val="28"/>
        </w:rPr>
      </w:pPr>
      <w:r w:rsidRPr="00613498">
        <w:rPr>
          <w:rFonts w:eastAsia="Times New Roman" w:cs="Times New Roman"/>
          <w:iCs/>
          <w:sz w:val="28"/>
          <w:szCs w:val="28"/>
        </w:rPr>
        <w:t xml:space="preserve">                         В соответствии с Перечнем видов выплат компенсационного характера,  утвержденным Положением об оплате труда работников МОУ </w:t>
      </w:r>
      <w:proofErr w:type="spellStart"/>
      <w:r w:rsidRPr="00613498">
        <w:rPr>
          <w:rFonts w:eastAsia="Times New Roman" w:cs="Times New Roman"/>
          <w:iCs/>
          <w:sz w:val="28"/>
          <w:szCs w:val="28"/>
        </w:rPr>
        <w:t>Фадеевской</w:t>
      </w:r>
      <w:proofErr w:type="spellEnd"/>
      <w:r w:rsidRPr="00613498">
        <w:rPr>
          <w:rFonts w:eastAsia="Times New Roman" w:cs="Times New Roman"/>
          <w:iCs/>
          <w:sz w:val="28"/>
          <w:szCs w:val="28"/>
        </w:rPr>
        <w:t xml:space="preserve"> НОШ от 16.08.2017г, работникам устанавливаются следующие виды выплат компенсационного характера:</w:t>
      </w:r>
    </w:p>
    <w:p w:rsidR="00613498" w:rsidRPr="00613498" w:rsidRDefault="00613498" w:rsidP="00613498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2.5. </w:t>
      </w:r>
      <w:r w:rsidRPr="00613498">
        <w:rPr>
          <w:rFonts w:eastAsia="Times New Roman" w:cs="Times New Roman"/>
          <w:b/>
          <w:sz w:val="28"/>
          <w:szCs w:val="28"/>
        </w:rPr>
        <w:t>За дополнительную работу, не входящую в круг основных обязанностей работника:</w:t>
      </w:r>
    </w:p>
    <w:p w:rsidR="00613498" w:rsidRPr="00613498" w:rsidRDefault="00613498" w:rsidP="00613498">
      <w:pPr>
        <w:jc w:val="both"/>
        <w:rPr>
          <w:rFonts w:eastAsia="Times New Roman" w:cs="Times New Roman"/>
          <w:sz w:val="28"/>
          <w:szCs w:val="28"/>
        </w:rPr>
      </w:pPr>
      <w:r w:rsidRPr="00613498">
        <w:rPr>
          <w:rFonts w:eastAsia="Times New Roman" w:cs="Times New Roman"/>
          <w:sz w:val="28"/>
          <w:szCs w:val="28"/>
        </w:rPr>
        <w:t xml:space="preserve"> - выполнение функций классного руководителя:</w:t>
      </w:r>
    </w:p>
    <w:p w:rsidR="00613498" w:rsidRDefault="00613498" w:rsidP="00613498">
      <w:pPr>
        <w:rPr>
          <w:rFonts w:eastAsia="Times New Roman" w:cs="Times New Roman"/>
          <w:sz w:val="28"/>
          <w:szCs w:val="28"/>
        </w:rPr>
      </w:pPr>
      <w:r w:rsidRPr="00613498">
        <w:rPr>
          <w:rFonts w:eastAsia="Times New Roman" w:cs="Times New Roman"/>
          <w:sz w:val="28"/>
          <w:szCs w:val="28"/>
        </w:rPr>
        <w:t xml:space="preserve">                                                        1-4-х классов</w:t>
      </w:r>
      <w:r>
        <w:rPr>
          <w:rFonts w:eastAsia="Times New Roman" w:cs="Times New Roman"/>
          <w:sz w:val="28"/>
          <w:szCs w:val="28"/>
        </w:rPr>
        <w:t xml:space="preserve">           до 20%</w:t>
      </w:r>
    </w:p>
    <w:p w:rsidR="00613498" w:rsidRDefault="00613498" w:rsidP="00613498">
      <w:pPr>
        <w:rPr>
          <w:rFonts w:eastAsia="Times New Roman" w:cs="Times New Roman"/>
          <w:sz w:val="28"/>
          <w:szCs w:val="28"/>
        </w:rPr>
      </w:pPr>
    </w:p>
    <w:p w:rsidR="00613498" w:rsidRDefault="00613498" w:rsidP="00613498">
      <w:pPr>
        <w:rPr>
          <w:rFonts w:eastAsia="Times New Roman" w:cs="Times New Roman"/>
          <w:sz w:val="28"/>
          <w:szCs w:val="28"/>
        </w:rPr>
      </w:pPr>
    </w:p>
    <w:p w:rsidR="00613498" w:rsidRPr="00613498" w:rsidRDefault="00613498" w:rsidP="00613498">
      <w:r>
        <w:rPr>
          <w:rFonts w:eastAsia="Times New Roman" w:cs="Times New Roman"/>
          <w:sz w:val="28"/>
          <w:szCs w:val="28"/>
        </w:rPr>
        <w:t xml:space="preserve">                       Директор школы:                      Т.П.Голдобина</w:t>
      </w:r>
      <w:bookmarkStart w:id="0" w:name="_GoBack"/>
      <w:bookmarkEnd w:id="0"/>
    </w:p>
    <w:sectPr w:rsidR="00613498" w:rsidRPr="0061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98"/>
    <w:rsid w:val="00547F4C"/>
    <w:rsid w:val="00613498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7QTD6YHHN6JS-498-52</_dlc_DocId>
    <_dlc_DocIdUrl xmlns="2e528b9c-c03d-45d3-a08f-6e77188430e0">
      <Url>http://www.eduportal44.ru/Sudislavl/Fad/_layouts/15/DocIdRedir.aspx?ID=7QTD6YHHN6JS-498-52</Url>
      <Description>7QTD6YHHN6JS-498-52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F7344-7B7E-4BC0-ACAC-70E3791078D5}"/>
</file>

<file path=customXml/itemProps2.xml><?xml version="1.0" encoding="utf-8"?>
<ds:datastoreItem xmlns:ds="http://schemas.openxmlformats.org/officeDocument/2006/customXml" ds:itemID="{39B023C5-69FB-461B-A65C-2C6890CF846F}"/>
</file>

<file path=customXml/itemProps3.xml><?xml version="1.0" encoding="utf-8"?>
<ds:datastoreItem xmlns:ds="http://schemas.openxmlformats.org/officeDocument/2006/customXml" ds:itemID="{410AA037-7030-41D8-9E66-0CE939253BCE}"/>
</file>

<file path=customXml/itemProps4.xml><?xml version="1.0" encoding="utf-8"?>
<ds:datastoreItem xmlns:ds="http://schemas.openxmlformats.org/officeDocument/2006/customXml" ds:itemID="{AF228BE6-9E14-4E5C-977F-C4008103B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2020-03-31T10:40:00Z</dcterms:created>
  <dcterms:modified xsi:type="dcterms:W3CDTF">2020-03-31T10:48:00Z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a532f474-9152-4f71-b47b-534f5af52b89</vt:lpwstr>
  </property>
</Properties>
</file>