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6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46"/>
        <w:gridCol w:w="8080"/>
      </w:tblGrid>
      <w:tr>
        <w:trPr>
          <w:trHeight w:val="107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6" w:type="dxa"/>
            <w:vAlign w:val="top"/>
            <w:textDirection w:val="lrTb"/>
            <w:noWrap w:val="false"/>
          </w:tcPr>
          <w:p>
            <w:pPr>
              <w:pStyle w:val="597"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/>
            <w:bookmarkStart w:id="0" w:name="sub_29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ПАМЯТКА  </w:t>
            </w:r>
            <w:r/>
          </w:p>
          <w:p>
            <w:pPr>
              <w:pStyle w:val="597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по применению мер </w:t>
            </w:r>
            <w:r/>
          </w:p>
          <w:p>
            <w:pPr>
              <w:pStyle w:val="597"/>
              <w:ind w:left="1030" w:right="133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уголовной ответственности </w:t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за получение и дачу взятки и </w:t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мер административной ответственности </w:t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 w:right="133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за незаконное вознаграждение </w:t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 xml:space="preserve">от имени юридического лица</w:t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r>
            <w:r/>
          </w:p>
          <w:p>
            <w:pPr>
              <w:pStyle w:val="597"/>
              <w:ind w:left="117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  <w:r/>
          </w:p>
          <w:p>
            <w:pPr>
              <w:pStyle w:val="597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  <w:r/>
          </w:p>
          <w:p>
            <w:pPr>
              <w:pStyle w:val="597"/>
              <w:ind w:left="103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pStyle w:val="597"/>
        <w:spacing w:after="0"/>
        <w:rPr>
          <w:rFonts w:ascii="Times New Roman" w:hAnsi="Times New Roman"/>
          <w:b/>
          <w:bCs/>
          <w:sz w:val="28"/>
          <w:szCs w:val="28"/>
        </w:rPr>
        <w:sectPr>
          <w:footnotePr/>
          <w:endnotePr/>
          <w:type w:val="nextPage"/>
          <w:pgSz w:w="16840" w:h="11907" w:orient="landscape"/>
          <w:pgMar w:top="568" w:right="397" w:bottom="426" w:left="42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01"/>
        <w:contextualSpacing/>
        <w:ind w:firstLine="708"/>
        <w:jc w:val="both"/>
        <w:spacing w:after="0" w:afterAutospacing="0" w:line="0" w:lineRule="atLeast"/>
      </w:pPr>
      <w:r/>
      <w:bookmarkEnd w:id="0"/>
      <w:r>
        <w:rPr>
          <w:b/>
          <w:bCs/>
          <w:u w:val="single"/>
        </w:rPr>
        <w:t xml:space="preserve">Коррупция</w:t>
      </w:r>
      <w:r>
        <w:t xml:space="preserve"> - одна из наиболее разрушительных для общества угроз, подрывающая веру граждан в справедливость, препятствующая процессу формирования правосознания граждан и становлению правовой культуры в обществе.</w:t>
      </w:r>
      <w:r/>
    </w:p>
    <w:p>
      <w:pPr>
        <w:pStyle w:val="601"/>
        <w:contextualSpacing/>
        <w:ind w:firstLine="708"/>
        <w:jc w:val="both"/>
        <w:spacing w:after="0" w:afterAutospacing="0" w:line="0" w:lineRule="atLeast"/>
        <w:rPr>
          <w:u w:val="single"/>
        </w:rPr>
      </w:pPr>
      <w:r>
        <w:rPr>
          <w:u w:val="single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Взятка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деньги, ценные бумаги, иное имущество, а также услуги имущест</w:t>
      </w:r>
      <w:r>
        <w:rPr>
          <w:rFonts w:ascii="Times New Roman" w:hAnsi="Times New Roman"/>
          <w:sz w:val="24"/>
          <w:szCs w:val="24"/>
        </w:rPr>
        <w:t xml:space="preserve">венного характера и иные имущественные права. Под последними понимаются "выгоды 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т.п.)", а также з</w:t>
      </w:r>
      <w:r>
        <w:rPr>
          <w:rFonts w:ascii="Times New Roman" w:hAnsi="Times New Roman"/>
          <w:sz w:val="24"/>
          <w:szCs w:val="24"/>
        </w:rPr>
        <w:t xml:space="preserve">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и т.п. Предоставляемые услуги нематериального характера не могут признаваться предметом взяточничества.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left="1612" w:hanging="892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u w:val="single"/>
        </w:rPr>
        <w:t xml:space="preserve">Статья 290.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Получение взятки</w:t>
      </w:r>
      <w:r>
        <w:rPr>
          <w:rFonts w:ascii="Times New Roman" w:hAnsi="Times New Roman"/>
          <w:sz w:val="24"/>
          <w:szCs w:val="24"/>
          <w:u w:val="single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</w:t>
      </w:r>
      <w:r>
        <w:rPr>
          <w:rFonts w:ascii="Times New Roman" w:hAnsi="Times New Roman"/>
          <w:sz w:val="24"/>
          <w:szCs w:val="24"/>
        </w:rPr>
        <w:t xml:space="preserve">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HYPERLINK "garantf1://12018624.402/" </w:instrText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i/>
          <w:color w:val="106bbe"/>
          <w:sz w:val="24"/>
          <w:szCs w:val="24"/>
          <w:u w:val="none"/>
        </w:rPr>
        <w:t xml:space="preserve">должностного положения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может способствовать таким действиям (бездействию), а равно за </w:t>
      </w: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HYPERLINK "garantf1://12018624.403/" </w:instrText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i/>
          <w:color w:val="106bbe"/>
          <w:sz w:val="24"/>
          <w:szCs w:val="24"/>
          <w:u w:val="none"/>
        </w:rPr>
        <w:t xml:space="preserve">общее покровительство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HYPERLINK "garantf1://12018624.404/" </w:instrText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i/>
          <w:color w:val="106bbe"/>
          <w:sz w:val="24"/>
          <w:szCs w:val="24"/>
          <w:u w:val="none"/>
        </w:rPr>
        <w:t xml:space="preserve">попустительство по службе</w:t>
      </w:r>
      <w:r>
        <w:rPr>
          <w:rFonts w:ascii="Times New Roman" w:hAnsi="Times New Roman"/>
          <w:i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hAnsi="Times New Roman"/>
          <w:i/>
          <w:sz w:val="24"/>
          <w:szCs w:val="24"/>
        </w:rPr>
        <w:t xml:space="preserve">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двадцатикратной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</w:t>
      </w:r>
      <w:r>
        <w:rPr>
          <w:rFonts w:ascii="Times New Roman" w:hAnsi="Times New Roman"/>
          <w:i/>
          <w:sz w:val="24"/>
          <w:szCs w:val="24"/>
        </w:rPr>
        <w:t xml:space="preserve">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sz w:val="24"/>
          <w:szCs w:val="24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с</w:t>
      </w:r>
      <w:r>
        <w:rPr>
          <w:rFonts w:ascii="Times New Roman" w:hAnsi="Times New Roman"/>
          <w:i/>
          <w:sz w:val="24"/>
          <w:szCs w:val="24"/>
        </w:rPr>
        <w:t xml:space="preserve">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 Деяния,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"sub_29001#sub_29001"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частями первой-третьей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наказываются штрафом в размере от шестидесятикра</w:t>
      </w:r>
      <w:r>
        <w:rPr>
          <w:rFonts w:ascii="Times New Roman" w:hAnsi="Times New Roman"/>
          <w:i/>
          <w:sz w:val="24"/>
          <w:szCs w:val="24"/>
        </w:rPr>
        <w:t xml:space="preserve">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 Деяния,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"sub_29001#sub_29001"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частями первой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"sub_29003#sub_29003"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третьей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"sub_29004#sub_29004"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четвертой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если они совершены: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группой лиц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"garantf1://12018624.13/"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по предварительному сговору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"garantf1://12018624.1302/"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организованной группой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"garantf1://12018624.15/"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вымогательством взятки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;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"garantf1://12018624.16/"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крупном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наказываются штрафом в размере от семидесятикратной</w:t>
      </w:r>
      <w:r>
        <w:rPr>
          <w:rFonts w:ascii="Times New Roman" w:hAnsi="Times New Roman"/>
          <w:i/>
          <w:sz w:val="24"/>
          <w:szCs w:val="24"/>
        </w:rPr>
        <w:t xml:space="preserve">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 Деяния,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"sub_29001#sub_29001"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частями первой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"sub_29003#sub_29003"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третьей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"sub_29004#sub_29004"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четвертой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"sub_29051#sub_29051"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пунктами "а"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"sub_29052#sub_29052"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"б" части пятой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совершенные в особо крупном размере,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наказываются штрафом в размере от восьмидесяти</w:t>
      </w:r>
      <w:r>
        <w:rPr>
          <w:rFonts w:ascii="Times New Roman" w:hAnsi="Times New Roman"/>
          <w:i/>
          <w:sz w:val="24"/>
          <w:szCs w:val="24"/>
        </w:rPr>
        <w:t xml:space="preserve">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взятки может происходить лично или через посредника. Взятка принимается за действия (бездействие) в пользу взят</w:t>
      </w:r>
      <w:r>
        <w:rPr>
          <w:rFonts w:ascii="Times New Roman" w:hAnsi="Times New Roman"/>
          <w:sz w:val="24"/>
          <w:szCs w:val="24"/>
        </w:rPr>
        <w:t xml:space="preserve">кодателя или представляемых им лиц, которые: а) входят в служебные полномочия взяткополучателя; б) могут способствовать таким действиям (бездействию) лица в силу должностного положения; в) заключаются в общем покровительстве или попустительстве по службе (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"garantf1://10008000.29001/"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1 ст. 290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); г) имеют незаконный характер (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"garantf1://10008000.29002/"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2 ст. 290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 действиями (бездействием)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входящими в служебные полномочия лица</w:t>
      </w:r>
      <w:r>
        <w:rPr>
          <w:rFonts w:ascii="Times New Roman" w:hAnsi="Times New Roman"/>
          <w:sz w:val="24"/>
          <w:szCs w:val="24"/>
        </w:rPr>
        <w:t xml:space="preserve">, за которые принимается взятка, обычно понимают такие акты поведения, которые взяткоп</w:t>
      </w:r>
      <w:r>
        <w:rPr>
          <w:rFonts w:ascii="Times New Roman" w:hAnsi="Times New Roman"/>
          <w:sz w:val="24"/>
          <w:szCs w:val="24"/>
        </w:rPr>
        <w:t xml:space="preserve">олучатель правомочен или обязан был выполнить в соответствии с возложенными на него функциями, а под незаконными действиями (бездействием) - неправомерные акты поведения, которые не следовали из служебных полномочий (компетенции) лица или совершались вопре</w:t>
      </w:r>
      <w:r>
        <w:rPr>
          <w:rFonts w:ascii="Times New Roman" w:hAnsi="Times New Roman"/>
          <w:sz w:val="24"/>
          <w:szCs w:val="24"/>
        </w:rPr>
        <w:t xml:space="preserve">ки интересам службы, а также действия (бездействие), содержащие в себе признаки преступления либо иного правонарушения (например, незаконное освобождение от уголовной ответственности, фальсификация доказательств, злоупотребление должностными полномочиями).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 должностным положением</w:t>
      </w:r>
      <w:r>
        <w:rPr>
          <w:rFonts w:ascii="Times New Roman" w:hAnsi="Times New Roman"/>
          <w:sz w:val="24"/>
          <w:szCs w:val="24"/>
        </w:rPr>
        <w:t xml:space="preserve">, способствующим совершению определенных действий (бездействия) в пользу взяткодателя со стороны иных должностных лиц,</w:t>
      </w:r>
      <w:r>
        <w:rPr>
          <w:rFonts w:ascii="Times New Roman" w:hAnsi="Times New Roman"/>
          <w:sz w:val="24"/>
          <w:szCs w:val="24"/>
        </w:rPr>
        <w:t xml:space="preserve"> следует, в частности, понимать значимость и авторитет занимаемой им должности, наличие подчиненных. Использование личных отношений, если они не связаны с занимаемой взяточником должностью, не может рассматриваться как использование должностного положения.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общему покровительству по службе относятся, например, действия, связанные с незаслуженными (необоснованными) поощрением, внеочередным повышением в должности, совершением других актов поведения, объективно не вызываемых необходимостью.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Высказывание лишь намерения получить ценности и услуги без попытки реализации намерения с помощью конкретных действий (бездействия) не может влечь уголовной ответственности.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передачи предмета взятки - до или после совершения действия (бездействия) в интересах дающего (взятка-подкуп, взятка-благодарность) - на квалификацию не влияет. Не имеет также значения, были ли дача и получение взятки заранее обусловлены (оговорены).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Выделяются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четыре вида взятки</w:t>
      </w:r>
      <w:r>
        <w:rPr>
          <w:rFonts w:ascii="Times New Roman" w:hAnsi="Times New Roman"/>
          <w:sz w:val="24"/>
          <w:szCs w:val="24"/>
        </w:rPr>
        <w:t xml:space="preserve"> в зависимости от ее размера: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простая (до 25 000 руб. -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"garantf1://10008000.29001/"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значительном размере (свыше 25 000 руб. -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"garantf1://10008000.29002/"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крупном размере (свыше 150 000 руб. -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"garantf1://10008000.2905/"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особо крупном размере (свыше 1 млн. руб. -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"garantf1://10008000.29006/"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Дарение должностным лицам и иным служащим не допускается, за исключением обычных подарков, стоимость которых не превышает </w:t>
      </w:r>
      <w:r>
        <w:rPr>
          <w:rFonts w:ascii="Times New Roman" w:hAnsi="Times New Roman"/>
          <w:b/>
          <w:sz w:val="24"/>
          <w:szCs w:val="24"/>
        </w:rPr>
        <w:t xml:space="preserve">3000 руб.</w:t>
      </w:r>
      <w:r>
        <w:rPr>
          <w:rFonts w:ascii="Times New Roman" w:hAnsi="Times New Roman"/>
          <w:sz w:val="24"/>
          <w:szCs w:val="24"/>
        </w:rPr>
        <w:t xml:space="preserve"> Запрет не распространяется на случаи дарения в связи с протокольными мероприятиями, служебными командировками и другими официальными мероприятиями.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Подарки, полученные должностными лицами и иными служащими, стоимость кото</w:t>
      </w:r>
      <w:r>
        <w:rPr>
          <w:rFonts w:ascii="Times New Roman" w:hAnsi="Times New Roman"/>
          <w:sz w:val="24"/>
          <w:szCs w:val="24"/>
        </w:rPr>
        <w:t xml:space="preserve">рых превышает указанную сумму, имеют особый режим: они признаются собственностью соответственно федеральной, субъекта Федерации или муниципальной и передаются получившим их служащим по акту в орган, в котором указанное лицо замещает определенную должность.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Независимо от наличия договоренности и размера подношения налицо взятка (подкуп), если: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этому предшествовало вымогательство вознаграждения;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подношение было заранее оговорено, обусловлено, имело характер подкупа;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дарение имущества осуществлено за незаконные действия (бездействие).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лишь в случае, когда вознаграждение без предварительной договоренности было передано (получено) за правомерное деяние по службе, решающим для разграничения подарка и взятки (подкупа) становится размер этого вознаграждения.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Не могут нести ответственность работники г</w:t>
      </w:r>
      <w:r>
        <w:rPr>
          <w:rFonts w:ascii="Times New Roman" w:hAnsi="Times New Roman"/>
          <w:b/>
          <w:i/>
          <w:sz w:val="24"/>
          <w:szCs w:val="24"/>
        </w:rPr>
        <w:t xml:space="preserve">осударственных органов и органов местного самоуправления, государственных и муниципальных учреждений, исполняющие в них профессиональные и технические обязанности, не относящиеся к организационно-распорядительным или административно-хозяйственным функциям.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имущественные выгоды (предмет взятки) предоставлены родным и близким должностного лица с его согласия либо оно не возражало против этого, содеянное должностным лицом следует расценивать как получение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о</w:t>
      </w:r>
      <w:r>
        <w:rPr>
          <w:rFonts w:ascii="Times New Roman" w:hAnsi="Times New Roman"/>
          <w:sz w:val="24"/>
          <w:szCs w:val="24"/>
        </w:rPr>
        <w:t xml:space="preserve">пасным видом посягательства признается получение взятки должностным лицом за незаконные действия (бездействие), а также лицом, занимающим государственную должность РФ или государственную должность субъекта РФ, а равно главой органа местного самоуправления.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взятки группой лиц по предварительному сговору имеет место, когда "в преступлении участвовали два и более должностных лица", а в организованную группу "могут входить лица, не являющиеся должностными".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Вымогательство означает треб</w:t>
      </w:r>
      <w:r>
        <w:rPr>
          <w:rFonts w:ascii="Times New Roman" w:hAnsi="Times New Roman"/>
          <w:sz w:val="24"/>
          <w:szCs w:val="24"/>
        </w:rPr>
        <w:t xml:space="preserve">ование взятки под угрозой совершения действий, которые могут причинить ущерб законным интересам гражданина либо поставить его в такие условия, при которых он вынужден дать взятку в целях предотвращения вредных последствий для его правоохраняемых интересов.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Усиливая наказуемость взяткополучателя, вымогательство в то же время является обстоятельством, устраняющим уголовную ответственность лица, давшего взятку.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у виновного имелся умысел на получение значительного, крупного или ос</w:t>
      </w:r>
      <w:r>
        <w:rPr>
          <w:rFonts w:ascii="Times New Roman" w:hAnsi="Times New Roman"/>
          <w:sz w:val="24"/>
          <w:szCs w:val="24"/>
        </w:rPr>
        <w:t xml:space="preserve">обо крупного размера взятки, но по не зависящим от него обстоятельствам была получена лишь часть взятки, не составляющая указанного размера, ответственность наступает как за покушение на взятку в значительном, крупном или особо крупном размере по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"garantf1://10008000.3003/"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ч. 3 ст. 30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соответствующей части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"garantf1://10008000.290/"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ст. 290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УК. 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/>
    </w:p>
    <w:p>
      <w:pPr>
        <w:pStyle w:val="597"/>
        <w:ind w:left="1612" w:hanging="892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u w:val="single"/>
        </w:rPr>
        <w:t xml:space="preserve">Статья 291.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Дача взятки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Дача взятки должностному лицу,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"sub_290051#sub_290051"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иностранному должностному лицу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либо должностному лицу публичной международной организации лично или через посредника 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Дача взятки должностному лицу, иностранному должностному лицу либо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"sub_290051#sub_290051"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должностному лицу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публичной международной организации лично или через посредника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"sub_29005#sub_29005"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значительном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i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  <w:r/>
    </w:p>
    <w:p>
      <w:pPr>
        <w:pStyle w:val="597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Дача взятки должностному лицу,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"sub_290051#sub_290051"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иностранному должностному лицу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Деяния,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"sub_29101#sub_29101"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частями первой-третьей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если они совершены: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группой лиц по предварительному сговору или организованной группой;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"sub_29005#sub_29005"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крупном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наказываются штрафом в размере от шестидесятикрат</w:t>
      </w:r>
      <w:r>
        <w:rPr>
          <w:rFonts w:ascii="Times New Roman" w:hAnsi="Times New Roman"/>
          <w:i/>
          <w:sz w:val="24"/>
          <w:szCs w:val="24"/>
        </w:rPr>
        <w:t xml:space="preserve">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Деяния,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"sub_29101#sub_29101"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частями первой-четвертой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совершенные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"sub_29005#sub_29005"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особо крупном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26282f"/>
          <w:sz w:val="24"/>
          <w:szCs w:val="24"/>
          <w:u w:val="single"/>
        </w:rPr>
        <w:t xml:space="preserve">Примечание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fldChar w:fldCharType="begin"/>
      </w:r>
      <w:r>
        <w:rPr>
          <w:rFonts w:ascii="Times New Roman" w:hAnsi="Times New Roman"/>
          <w:b/>
          <w:i/>
          <w:sz w:val="24"/>
          <w:szCs w:val="24"/>
          <w:u w:val="single"/>
        </w:rPr>
        <w:instrText xml:space="preserve"> HYPERLINK "garantf1://12018624.22/" </w:instrText>
      </w:r>
      <w:r>
        <w:rPr>
          <w:rFonts w:ascii="Times New Roman" w:hAnsi="Times New Roman"/>
          <w:b/>
          <w:i/>
          <w:sz w:val="24"/>
          <w:szCs w:val="24"/>
          <w:u w:val="single"/>
        </w:rPr>
        <w:fldChar w:fldCharType="separate"/>
      </w:r>
      <w:r>
        <w:rPr>
          <w:rStyle w:val="602"/>
          <w:rFonts w:ascii="Times New Roman" w:hAnsi="Times New Roman"/>
          <w:b/>
          <w:i/>
          <w:color w:val="106bbe"/>
          <w:sz w:val="24"/>
          <w:szCs w:val="24"/>
        </w:rPr>
        <w:t xml:space="preserve">добровольно</w:t>
      </w:r>
      <w:r>
        <w:rPr>
          <w:rFonts w:ascii="Times New Roman" w:hAnsi="Times New Roman"/>
          <w:b/>
          <w:i/>
          <w:sz w:val="24"/>
          <w:szCs w:val="24"/>
          <w:u w:val="single"/>
        </w:rPr>
        <w:fldChar w:fldCharType="end"/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сообщило о даче взятки органу, имеющему право возбудить уголовное дело.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образует покушения на дачу взятки озвученное намерение дать взятку должностному лицу, когда субъект для его реализации не предпринимал никаких действий.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передачи взятки (до или после совершения действия (бездействия) в интересах дающего) на квалификацию содеянного не влияет; по действующему законодательству уголовно наказуема и взятка-подкуп, и взятка-благодарность.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Освобождение взяткодателя от уголо</w:t>
      </w:r>
      <w:r>
        <w:rPr>
          <w:rFonts w:ascii="Times New Roman" w:hAnsi="Times New Roman"/>
          <w:b/>
          <w:i/>
          <w:sz w:val="24"/>
          <w:szCs w:val="24"/>
        </w:rPr>
        <w:t xml:space="preserve">вной ответственности по мотивам вымогательства либо добровольного сообщения не означает отсутствия в действиях заявителя состава преступления. Поэтому такое лицо не может признаваться потерпевшим и не вправе претендовать на возвращение ему предмета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Изъятые деньги и другие ценности, вручавшиеся в качестве взятки и признанные вещественными доказательствами, подлежат конфискации как предметы преступления на основании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"garantf1://12025178.81/"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ст. 81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УПК РФ.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случае, когда до передачи денег, ценных бумаг, иного имущества и т.п. лицо добровольно заявило о требовании вымогателя органу, имеюще</w:t>
      </w:r>
      <w:r>
        <w:rPr>
          <w:rFonts w:ascii="Times New Roman" w:hAnsi="Times New Roman"/>
          <w:b/>
          <w:i/>
          <w:sz w:val="24"/>
          <w:szCs w:val="24"/>
        </w:rPr>
        <w:t xml:space="preserve">му право возбудить уголовное дело, и передача проходила под контролем такого органа в целях задержания с поличным лица, заявившего требование о даче взятки, предмет взятки подлежит возвращению его владельцу. Если предмет взятки таков, что изъятие его в нат</w:t>
      </w:r>
      <w:r>
        <w:rPr>
          <w:rFonts w:ascii="Times New Roman" w:hAnsi="Times New Roman"/>
          <w:b/>
          <w:i/>
          <w:sz w:val="24"/>
          <w:szCs w:val="24"/>
        </w:rPr>
        <w:t xml:space="preserve">уре затруднено или невозможно (например, в случае оказания услуги в виде бесплатного ремонта жилища или автомашины взяткополучателя, использования денег), выносится решение о конфискации денежной суммы, которая соответствует стоимости предмета или услуги (</w:t>
      </w:r>
      <w:r>
        <w:rPr>
          <w:rFonts w:ascii="Times New Roman" w:hAnsi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/>
          <w:b/>
          <w:i/>
          <w:sz w:val="24"/>
          <w:szCs w:val="24"/>
        </w:rPr>
        <w:instrText xml:space="preserve"> HYPERLINK "garantf1://10008000.1042/" </w:instrText>
      </w:r>
      <w:r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b/>
          <w:i/>
          <w:color w:val="106bbe"/>
          <w:sz w:val="24"/>
          <w:szCs w:val="24"/>
          <w:u w:val="none"/>
        </w:rPr>
        <w:t xml:space="preserve">ст. 104.2</w:t>
      </w:r>
      <w:r>
        <w:rPr>
          <w:rFonts w:ascii="Times New Roman" w:hAnsi="Times New Roman"/>
          <w:b/>
          <w:i/>
          <w:sz w:val="24"/>
          <w:szCs w:val="24"/>
        </w:rPr>
        <w:fldChar w:fldCharType="end"/>
      </w:r>
      <w:r>
        <w:rPr>
          <w:rFonts w:ascii="Times New Roman" w:hAnsi="Times New Roman"/>
          <w:b/>
          <w:i/>
          <w:sz w:val="24"/>
          <w:szCs w:val="24"/>
        </w:rPr>
        <w:t xml:space="preserve"> УК).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left="1612" w:hanging="892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u w:val="single"/>
        </w:rPr>
        <w:t xml:space="preserve">Статья 291.1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Посредничество во взяточничестве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Посреднич</w:t>
      </w:r>
      <w:r>
        <w:rPr>
          <w:rFonts w:ascii="Times New Roman" w:hAnsi="Times New Roman"/>
          <w:sz w:val="24"/>
          <w:szCs w:val="24"/>
        </w:rPr>
        <w:t xml:space="preserve">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"sub_29005#sub_29005"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значительном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</w:t>
      </w:r>
      <w:r>
        <w:rPr>
          <w:rFonts w:ascii="Times New Roman" w:hAnsi="Times New Roman"/>
          <w:i/>
          <w:sz w:val="24"/>
          <w:szCs w:val="24"/>
        </w:rPr>
        <w:t xml:space="preserve">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тридца</w:t>
      </w:r>
      <w:r>
        <w:rPr>
          <w:rFonts w:ascii="Times New Roman" w:hAnsi="Times New Roman"/>
          <w:i/>
          <w:sz w:val="24"/>
          <w:szCs w:val="24"/>
        </w:rPr>
        <w:t xml:space="preserve">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Посредничество во взяточничестве, совершенное: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группой лиц по предварительному сговору или организованной группой;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"sub_29005#sub_29005"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крупном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шестидесятикратной </w:t>
      </w:r>
      <w:r>
        <w:rPr>
          <w:rFonts w:ascii="Times New Roman" w:hAnsi="Times New Roman"/>
          <w:i/>
          <w:sz w:val="24"/>
          <w:szCs w:val="24"/>
        </w:rPr>
        <w:t xml:space="preserve">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Посредничество во взяточничестве, совершенное в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"sub_29005#sub_29005"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особо крупном размере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семидесятикрат</w:t>
      </w:r>
      <w:r>
        <w:rPr>
          <w:rFonts w:ascii="Times New Roman" w:hAnsi="Times New Roman"/>
          <w:i/>
          <w:sz w:val="24"/>
          <w:szCs w:val="24"/>
        </w:rPr>
        <w:t xml:space="preserve">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Обещание или предложение посредничества во взяточничестве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</w:t>
      </w:r>
      <w:r>
        <w:rPr>
          <w:rFonts w:ascii="Times New Roman" w:hAnsi="Times New Roman"/>
          <w:i/>
          <w:sz w:val="24"/>
          <w:szCs w:val="24"/>
        </w:rPr>
        <w:t xml:space="preserve">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Примечание</w:t>
      </w:r>
      <w:r>
        <w:rPr>
          <w:rFonts w:ascii="Times New Roman" w:hAnsi="Times New Roman"/>
          <w:sz w:val="24"/>
          <w:szCs w:val="24"/>
        </w:rPr>
        <w:t xml:space="preserve">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"garantf1://12018624.22/"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добровольно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сообщило органу, имеющему право возбудить уголовное дело, о посредничестве во взяточничестве.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left="1612" w:hanging="892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u w:val="single"/>
        </w:rPr>
        <w:t xml:space="preserve">Статья 19.28.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Незаконное вознаграждение от имени юридического лица</w:t>
      </w:r>
      <w:r/>
    </w:p>
    <w:p>
      <w:pPr>
        <w:pStyle w:val="597"/>
        <w:ind w:firstLine="42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</w:t>
      </w:r>
      <w:r>
        <w:rPr>
          <w:rFonts w:ascii="Times New Roman" w:hAnsi="Times New Roman"/>
          <w:sz w:val="24"/>
          <w:szCs w:val="24"/>
        </w:rPr>
        <w:t xml:space="preserve">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</w:t>
      </w:r>
      <w:r>
        <w:rPr>
          <w:rFonts w:ascii="Times New Roman" w:hAnsi="Times New Roman"/>
          <w:sz w:val="24"/>
          <w:szCs w:val="24"/>
        </w:rPr>
        <w:t xml:space="preserve">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</w:t>
      </w:r>
      <w:r>
        <w:rPr>
          <w:rFonts w:ascii="Times New Roman" w:hAnsi="Times New Roman"/>
          <w:i/>
          <w:sz w:val="24"/>
          <w:szCs w:val="24"/>
        </w:rPr>
        <w:t xml:space="preserve">ав, незаконно переданных или оказанных либо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Действия,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"sub_192801#sub_192801"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частью 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совершенные в крупном размере,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влекут наложение административного штрафа на юридических лиц до тридцатикратного размера суммы денежных средств, стоимости ценных бумаг, иного имущества, услуг имущественного характера, иных имущественных прав,</w:t>
      </w:r>
      <w:r>
        <w:rPr>
          <w:rFonts w:ascii="Times New Roman" w:hAnsi="Times New Roman"/>
          <w:i/>
          <w:sz w:val="24"/>
          <w:szCs w:val="24"/>
        </w:rPr>
        <w:t xml:space="preserve"> незаконно переданных или оказанных либо обещанных или предложенных от имени юридического лица, но не менее двадцати миллионов рублей с конфискацией денег, ценных бумаг, иного имущества или стоимости услуг имущественного характера, иных имущественных прав.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Действия, предусмотренные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"file:///C:\\DOCUME~1\\1\\LOCALS~1\\Temp\\Rar$DI00.329\\ПАМЯТКА%20по%20взяткам.doc" \l "sub_192801#sub_192801"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602"/>
          <w:rFonts w:ascii="Times New Roman" w:hAnsi="Times New Roman"/>
          <w:color w:val="106bbe"/>
          <w:sz w:val="24"/>
          <w:szCs w:val="24"/>
          <w:u w:val="none"/>
        </w:rPr>
        <w:t xml:space="preserve">частью 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настоящей статьи, совершенные в особо крупном размере, -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влекут наложение административного штрафа на юридических лиц в размере до стократной суммы денежных средств, стоимости ценных бумаг, иного имущества, услуг имущественного характера, иных имущественных </w:t>
      </w:r>
      <w:r>
        <w:rPr>
          <w:rFonts w:ascii="Times New Roman" w:hAnsi="Times New Roman"/>
          <w:i/>
          <w:sz w:val="24"/>
          <w:szCs w:val="24"/>
        </w:rPr>
        <w:t xml:space="preserve">прав, незаконно переданных или оказанных либо обещанных или предложенных от имени юридического лица, но не менее ста миллионов рублей с конфискацией денег, ценных бумаг, иного имущества или стоимости услуг имущественного характера, иных имущественных прав.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Примечание: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настоящей статье крупным размером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рублей, особо крупным размером - превышающие двадцать миллионов рублей.</w:t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597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598">
    <w:name w:val="Основной шрифт абзаца"/>
    <w:next w:val="598"/>
    <w:link w:val="597"/>
    <w:semiHidden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paragraph" w:styleId="601">
    <w:name w:val="msonormalcxspmiddle"/>
    <w:basedOn w:val="597"/>
    <w:next w:val="601"/>
    <w:link w:val="59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02">
    <w:name w:val="Гиперссылка"/>
    <w:basedOn w:val="598"/>
    <w:next w:val="602"/>
    <w:link w:val="597"/>
    <w:rPr>
      <w:color w:val="0000ff"/>
      <w:u w:val="single"/>
    </w:rPr>
  </w:style>
  <w:style w:type="character" w:styleId="1505" w:default="1">
    <w:name w:val="Default Paragraph Font"/>
    <w:uiPriority w:val="1"/>
    <w:semiHidden/>
    <w:unhideWhenUsed/>
  </w:style>
  <w:style w:type="numbering" w:styleId="1506" w:default="1">
    <w:name w:val="No List"/>
    <w:uiPriority w:val="99"/>
    <w:semiHidden/>
    <w:unhideWhenUsed/>
  </w:style>
  <w:style w:type="table" w:styleId="15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DAD6270085A429F8372CB583A0619" ma:contentTypeVersion="49" ma:contentTypeDescription="Создание документа." ma:contentTypeScope="" ma:versionID="9189ca6247ceff58d710fe305b0f417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FE52A-A427-4701-A7FD-41776BDDCED3}"/>
</file>

<file path=customXml/itemProps2.xml><?xml version="1.0" encoding="utf-8"?>
<ds:datastoreItem xmlns:ds="http://schemas.openxmlformats.org/officeDocument/2006/customXml" ds:itemID="{A6AD59BB-A4AB-476A-957A-AF4430395855}"/>
</file>

<file path=customXml/itemProps3.xml><?xml version="1.0" encoding="utf-8"?>
<ds:datastoreItem xmlns:ds="http://schemas.openxmlformats.org/officeDocument/2006/customXml" ds:itemID="{6CC474BF-055F-4B6E-9D05-C4958CEDF78E}"/>
</file>

<file path=customXml/itemProps4.xml><?xml version="1.0" encoding="utf-8"?>
<ds:datastoreItem xmlns:ds="http://schemas.openxmlformats.org/officeDocument/2006/customXml" ds:itemID="{8A15F8B8-8773-4815-A981-A268D94B374A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MoBIL GROUP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revision>6</cp:revision>
  <dcterms:created xsi:type="dcterms:W3CDTF">2014-09-12T06:25:00Z</dcterms:created>
  <dcterms:modified xsi:type="dcterms:W3CDTF">2023-01-27T06:15:59Z</dcterms:modified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0x0101008ECDAD6270085A429F8372CB583A0619</vt:lpwstr>
  </property>
</Properties>
</file>