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4C" w:rsidRDefault="00D42BB2" w:rsidP="0021704C">
      <w:pPr>
        <w:spacing w:after="0" w:line="240" w:lineRule="auto"/>
        <w:jc w:val="center"/>
        <w:textAlignment w:val="baseline"/>
        <w:outlineLvl w:val="1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</w:pPr>
      <w:r w:rsidRPr="0021704C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</w:p>
    <w:p w:rsidR="0021704C" w:rsidRDefault="0021704C" w:rsidP="0021704C">
      <w:pPr>
        <w:spacing w:after="0" w:line="240" w:lineRule="auto"/>
        <w:jc w:val="center"/>
        <w:textAlignment w:val="baseline"/>
        <w:outlineLvl w:val="1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>научно – методической деятельности</w:t>
      </w:r>
      <w:r w:rsidR="00D42BB2" w:rsidRPr="0021704C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21704C" w:rsidRDefault="0021704C" w:rsidP="0021704C">
      <w:pPr>
        <w:spacing w:after="0" w:line="240" w:lineRule="auto"/>
        <w:jc w:val="center"/>
        <w:textAlignment w:val="baseline"/>
        <w:outlineLvl w:val="1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>Муниципального бюджетного общеобразовательного учреждения Гимназия №3 городского округа город Шарья Костромской области</w:t>
      </w:r>
      <w:r w:rsidR="00D42BB2" w:rsidRPr="0021704C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D42BB2" w:rsidRPr="0021704C" w:rsidRDefault="00D42BB2" w:rsidP="0021704C">
      <w:pPr>
        <w:spacing w:after="0" w:line="240" w:lineRule="auto"/>
        <w:jc w:val="center"/>
        <w:textAlignment w:val="baseline"/>
        <w:outlineLvl w:val="1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</w:pPr>
      <w:r w:rsidRPr="0021704C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ru-RU"/>
        </w:rPr>
        <w:t>на 2013-2014 учебный год</w:t>
      </w:r>
    </w:p>
    <w:p w:rsidR="00D42BB2" w:rsidRPr="0021704C" w:rsidRDefault="00D42BB2" w:rsidP="00D42BB2">
      <w:pPr>
        <w:spacing w:before="75" w:after="150" w:line="36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 На основе анализа </w:t>
      </w:r>
      <w:r w:rsid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научно – методической деятельности Муниципального бюджетного общеобразовательного учреждения Гимназия №3 (далее гимназия)</w:t>
      </w: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в 2012-2013 учебном году сделан вывод о необходимости в 2013-2014 учебном году продолжения  работы над прежней единой методической темой.</w:t>
      </w:r>
    </w:p>
    <w:p w:rsidR="00C25A86" w:rsidRDefault="00D42BB2" w:rsidP="00D42BB2">
      <w:pPr>
        <w:spacing w:before="75" w:after="15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Единая методическая тема гимназии: </w:t>
      </w:r>
      <w:r w:rsidR="0021704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:rsidR="00D42BB2" w:rsidRPr="00C25A86" w:rsidRDefault="00D42BB2" w:rsidP="00C25A86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i/>
          <w:color w:val="222222"/>
          <w:sz w:val="24"/>
          <w:szCs w:val="24"/>
          <w:lang w:eastAsia="ru-RU"/>
        </w:rPr>
      </w:pPr>
      <w:r w:rsidRPr="00C25A86">
        <w:rPr>
          <w:rFonts w:ascii="inherit" w:eastAsia="Times New Roman" w:hAnsi="inherit" w:cs="Arial"/>
          <w:i/>
          <w:color w:val="222222"/>
          <w:sz w:val="24"/>
          <w:szCs w:val="24"/>
          <w:lang w:eastAsia="ru-RU"/>
        </w:rPr>
        <w:t>Формирование и развитие  творческого потенциала субъектов образовательного процесса гимназии  в условиях реализации ФГОС начального общего образования (НОО) и введения ФГОС основного общего образования (ООО)</w:t>
      </w:r>
    </w:p>
    <w:p w:rsidR="00D42BB2" w:rsidRPr="0021704C" w:rsidRDefault="00D42BB2" w:rsidP="00D42BB2">
      <w:pPr>
        <w:spacing w:before="75" w:after="150" w:line="36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Цель:</w:t>
      </w: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D42BB2" w:rsidRPr="0021704C" w:rsidRDefault="00D42BB2" w:rsidP="00D42BB2">
      <w:pPr>
        <w:spacing w:before="75" w:after="150" w:line="36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D42BB2" w:rsidRPr="0021704C" w:rsidRDefault="00D42BB2" w:rsidP="00D42BB2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Создание условий для реализации ФГОС  начального образования  (НОО)  и для поэтапного введения ФГОС основного общего образования (ООО);</w:t>
      </w:r>
    </w:p>
    <w:p w:rsidR="00D42BB2" w:rsidRPr="0021704C" w:rsidRDefault="00D42BB2" w:rsidP="00D42BB2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Создание условий (организационно-управленческих, методических, педагогических) для обновления основных образовательных прогр</w:t>
      </w:r>
      <w:r w:rsidR="0021704C"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амм образовательного учреждения.</w:t>
      </w: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Совершенствование  методического уровня педагогов в овладении новыми педагогическими технологиями;</w:t>
      </w:r>
    </w:p>
    <w:p w:rsidR="00D42BB2" w:rsidRPr="0021704C" w:rsidRDefault="00D42BB2" w:rsidP="00D42BB2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Продолжение работы по обобщению и распространению передового педагогического опыта (ППО);</w:t>
      </w:r>
    </w:p>
    <w:p w:rsidR="00D42BB2" w:rsidRDefault="00D42BB2" w:rsidP="00D42BB2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Создание условий для самореализации учащихся в учебно-воспитательном процессе и  развития их  ключевых компетенций;</w:t>
      </w:r>
    </w:p>
    <w:p w:rsidR="0021704C" w:rsidRDefault="0021704C" w:rsidP="00D42BB2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Создание условий для обучения молодых педагогов.</w:t>
      </w:r>
    </w:p>
    <w:p w:rsidR="0021704C" w:rsidRDefault="0021704C" w:rsidP="0021704C">
      <w:pPr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21704C" w:rsidRDefault="0021704C" w:rsidP="0021704C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21704C" w:rsidRDefault="0021704C" w:rsidP="0021704C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21704C" w:rsidRDefault="0021704C" w:rsidP="0021704C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21704C" w:rsidRDefault="0021704C" w:rsidP="0021704C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D42BB2" w:rsidRPr="0021704C" w:rsidRDefault="0021704C" w:rsidP="0021704C">
      <w:pPr>
        <w:spacing w:before="75" w:after="15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Основные направления научно – методической </w:t>
      </w:r>
      <w:r w:rsidR="00D42BB2" w:rsidRPr="0021704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деятельности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гимназии</w:t>
      </w:r>
    </w:p>
    <w:tbl>
      <w:tblPr>
        <w:tblStyle w:val="a4"/>
        <w:tblW w:w="15512" w:type="dxa"/>
        <w:jc w:val="center"/>
        <w:tblInd w:w="-871" w:type="dxa"/>
        <w:tblLook w:val="04A0"/>
      </w:tblPr>
      <w:tblGrid>
        <w:gridCol w:w="7417"/>
        <w:gridCol w:w="13"/>
        <w:gridCol w:w="1972"/>
        <w:gridCol w:w="38"/>
        <w:gridCol w:w="2325"/>
        <w:gridCol w:w="46"/>
        <w:gridCol w:w="3686"/>
        <w:gridCol w:w="15"/>
      </w:tblGrid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15497" w:type="dxa"/>
            <w:gridSpan w:val="7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        I.       ОРГАНИЗАЦИОННАЯ РАБОТА              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15497" w:type="dxa"/>
            <w:gridSpan w:val="7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1.1.   Проведение заседаний Методического совета 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Кто привлекается,    исполнители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1.Обновление и утверждение нормативных локальных актов в связи с вступлением в действие нового закона «Об образовании», нормативных актов, связанных с введением платных дополнительных образовательных услуг.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Утвержденные директором Положения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D42BB2" w:rsidP="0021704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2. Утверждение новой структуры Методической службы гимназии через </w:t>
            </w:r>
            <w:r w:rsid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организацию  работы на базе методических объединений творческих лабораторий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УВР,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Приказ об организации новой структуры Методической службы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B44DCB" w:rsidP="0021704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   Утверждение                плана </w:t>
            </w:r>
            <w:r w:rsid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научно – методической деятельности 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  на 2013-2014     учебный    год. Утверждение           рабочих программ,              программ факультативных   и элективных курсов, программ платных дополнительных образовательных услуг.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выполнения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B44DCB" w:rsidP="0021704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  </w:t>
            </w:r>
            <w:r w:rsid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результатов школьного </w:t>
            </w:r>
            <w:r w:rsidR="0021704C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этапа</w:t>
            </w:r>
            <w:r w:rsid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Всероссийских предметных олимпиад.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Ноябрь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Наличие плана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B44DCB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  Формирование       учебного плана на 2014-2015 учебный год. Кадровое обеспечение.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Март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7430" w:type="dxa"/>
            <w:gridSpan w:val="2"/>
            <w:hideMark/>
          </w:tcPr>
          <w:p w:rsidR="00D42BB2" w:rsidRPr="0021704C" w:rsidRDefault="00C360FB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  Анализ                       работы методического            совета гимназии:      проблемы      и перспективы</w:t>
            </w:r>
          </w:p>
        </w:tc>
        <w:tc>
          <w:tcPr>
            <w:tcW w:w="2010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Апрель 2013</w:t>
            </w:r>
          </w:p>
        </w:tc>
        <w:tc>
          <w:tcPr>
            <w:tcW w:w="2325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732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Выявленные проблемы и перспективы</w:t>
            </w:r>
          </w:p>
        </w:tc>
      </w:tr>
      <w:tr w:rsidR="00D42BB2" w:rsidRPr="0021704C" w:rsidTr="00C360FB">
        <w:trPr>
          <w:gridAfter w:val="1"/>
          <w:wAfter w:w="15" w:type="dxa"/>
          <w:jc w:val="center"/>
        </w:trPr>
        <w:tc>
          <w:tcPr>
            <w:tcW w:w="15497" w:type="dxa"/>
            <w:gridSpan w:val="7"/>
            <w:hideMark/>
          </w:tcPr>
          <w:p w:rsidR="00D42BB2" w:rsidRPr="0021704C" w:rsidRDefault="00D42BB2" w:rsidP="0021704C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1.2.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Диагностика деятельности педагогов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работы 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B44DC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Кто привлекается,    исполнители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   Разработка системы анкет, опросов для систематического мониторинга затруднений.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Сентябрь-октябрь 2013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 анкет и опросов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 Обновление квалификационных требований и квалификационных характеристик педагогических и руководящих работников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Сентябрь-октябрь 2013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Перспективный план аттестации педагогических и руководящих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   Организация     мониторинга качественных изменений профессиональной квалификации     педагогического коллектива.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четверть 2013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 Руководители МО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показателей мониторинга. 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учителей.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4. Организация мониторинга по выявлению готовности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 введению инноваций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B44DCB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четверть 2013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 Руководители МО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показателей мониторинга.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 Организация диагностики оснащения рабочего места учителя через создание электронного паспорта кабинета.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 Руководители МО, учителя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Модель электронного паспорта кабинета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   Организация     изучения     и распространения передового педагогического          опыта (ППО).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Сентябрь-октябрь 20 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работы по изучению и распространению ППО</w:t>
            </w:r>
          </w:p>
        </w:tc>
      </w:tr>
      <w:tr w:rsidR="00D42BB2" w:rsidRPr="0021704C" w:rsidTr="00B44DCB">
        <w:trPr>
          <w:jc w:val="center"/>
        </w:trPr>
        <w:tc>
          <w:tcPr>
            <w:tcW w:w="7417" w:type="dxa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 Разработка системы поощрения за посещение уроков коллег.</w:t>
            </w:r>
          </w:p>
        </w:tc>
        <w:tc>
          <w:tcPr>
            <w:tcW w:w="1985" w:type="dxa"/>
            <w:gridSpan w:val="2"/>
            <w:hideMark/>
          </w:tcPr>
          <w:p w:rsidR="00D42BB2" w:rsidRPr="0021704C" w:rsidRDefault="00B44DCB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екабрь </w:t>
            </w:r>
            <w:r w:rsidR="00D42BB2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2409" w:type="dxa"/>
            <w:gridSpan w:val="3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701" w:type="dxa"/>
            <w:gridSpan w:val="2"/>
            <w:hideMark/>
          </w:tcPr>
          <w:p w:rsidR="00D42BB2" w:rsidRPr="0021704C" w:rsidRDefault="00D42BB2" w:rsidP="00D42BB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положении о стимулирующих выплатах</w:t>
            </w:r>
          </w:p>
        </w:tc>
      </w:tr>
    </w:tbl>
    <w:tbl>
      <w:tblPr>
        <w:tblStyle w:val="a4"/>
        <w:tblpPr w:leftFromText="180" w:rightFromText="180" w:vertAnchor="text" w:horzAnchor="page" w:tblpX="818" w:tblpY="32"/>
        <w:tblW w:w="15451" w:type="dxa"/>
        <w:tblLayout w:type="fixed"/>
        <w:tblLook w:val="04A0"/>
      </w:tblPr>
      <w:tblGrid>
        <w:gridCol w:w="7371"/>
        <w:gridCol w:w="1985"/>
        <w:gridCol w:w="2409"/>
        <w:gridCol w:w="3686"/>
      </w:tblGrid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B44DCB" w:rsidP="00C360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II.               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Организационно – методическая работа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44DC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2.1.  </w:t>
            </w:r>
            <w:r w:rsidRPr="00B44DC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Создание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условий для реализации ФГОС</w:t>
            </w:r>
            <w:r w:rsidRPr="0021704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начального образования  (НОО) и для поэтапного введения ФГОС основного общего образования (ООО)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.   Разработка   и   утверждение рабочих программ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 2013</w:t>
            </w:r>
          </w:p>
        </w:tc>
        <w:tc>
          <w:tcPr>
            <w:tcW w:w="2409" w:type="dxa"/>
            <w:hideMark/>
          </w:tcPr>
          <w:p w:rsidR="00B44DCB" w:rsidRPr="0021704C" w:rsidRDefault="00D87640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Учителя, руководители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МО, зам.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Утвержденные рабочие программы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  Поэтапное               обучение педагогов      гимназии      по проблеме введения ФГОС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течение учебного года по плану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КОИРО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Список      учителей, прошедших обучение. Перспективный   план обучения.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  Проведение    семинара    по теме       «Нормативная база ФГОС. Требования к рабочим программам»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Ноябрь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Методическая готовность    учителей к  составлению рабочих программ в условиях ФГОС.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  Разработка       методических рекомендаций    для формирования   и   развития УУД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директора по УВР, руководители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МО, учителя, работающие в начальной школе и 5 классе основной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  Подготовка   и   проведение тематического педагогического совета «Готовность коллектива к переходу на ФГОС ООО»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графику педсоветов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6. Изучение опыта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гимназий, членов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Гимназического союза России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реализующих требования ФГОС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НОО и ФГОС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через систему видеоконференцсвязи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Учителя, руководите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ли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МО, зам.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C360FB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C360F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2.2.   </w:t>
            </w:r>
            <w:r w:rsidRPr="00C360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Обобщение передового педагогического опыта (ППО)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C360FB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C360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   Описание   педагогического опыта      через       создание электронного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методическом сайте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  Оформление   методической «копилки» на сайте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          о работе           каждого методического объединения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  Представление опыта учителей в научных сборниках и конференциях.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   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   директора по УВР, р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Публикации, сертификаты об участии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C360F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Взаимодействие с </w:t>
            </w:r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Фондом поддержки образования (</w:t>
            </w:r>
            <w:proofErr w:type="gramStart"/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Санкт – Петербург)  по обобщению опыта учителей гимназии на Всероссийском уровне, через систему видеоконференцсвязи (Проект Фонда поддержки образования </w:t>
            </w:r>
            <w:r w:rsidR="00B44DCB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Мастерская лучших учителей</w:t>
            </w:r>
            <w:r w:rsidR="00B44DCB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   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УВР, руководители МО,      учителя-предметники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Размещение результатов работы по обобщению опыта на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официальном сайте Фонда, гимназии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C360F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  Выявление    потенциальных участников профессиональных конкурсов разного уровня и оказание методической помощи      в      подготовке конкурсных материалов.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Ноябрь-декабрь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   директора по УВР,  Руководители 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C360F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Распространение ППО гимназии на муниципальном, региональном и федеральном уровне.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   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Мастер-классы, открытые уроки, участие в конкурсах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C360F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Изучение положительного опыта работы гимназии как </w:t>
            </w:r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федеральной </w:t>
            </w:r>
            <w:proofErr w:type="spellStart"/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="00B44D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   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  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2.3.   Курсовая подготовка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 Изучение регионального и федерального  банка программ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иректора по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План повышения квалификации.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Информация.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  Оформление информационного стенда и информация на сайте с  планом прохождения курсов повышения квалификации на 2013-2014 учебный год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УВР педагоги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для педагогов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перспективным     планом  повышения квалификации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   Регистрация        заявок прохождение курсов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-</w:t>
            </w:r>
            <w:r w:rsid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 2013,Декабрь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</w:t>
            </w:r>
            <w:r w:rsid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прохождения курсов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  Составление перспективного плана повышения квалификации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педагогических кадров  в связи с постепенным переходом МБОУ гимназия № 9 на ФГОС ООО.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5.  Составление 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программы научно – практического семинара </w:t>
            </w:r>
            <w:r w:rsidR="00FF6902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Лаборатория современного урока</w:t>
            </w:r>
            <w:r w:rsidR="00FF6902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как формы внутрифирменного повышения квалификации педагогов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 201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3686" w:type="dxa"/>
            <w:hideMark/>
          </w:tcPr>
          <w:p w:rsidR="00B44DCB" w:rsidRPr="0021704C" w:rsidRDefault="00FF6902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B44DCB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 Составление банка данных в свя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 с вступлением в силу нового З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акона об образовании, по которому учитель имеет право на курсовую  подготовку 1 раз в 3 года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РуководителиМО</w:t>
            </w:r>
            <w:proofErr w:type="spellEnd"/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База данных в электронном виде</w:t>
            </w:r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2.4.</w:t>
            </w:r>
            <w:r w:rsidRPr="0021704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Организация и развитие информационно-коммуникационной среды гимназии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1.  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сайта методического совета гимназии</w:t>
            </w:r>
          </w:p>
        </w:tc>
        <w:tc>
          <w:tcPr>
            <w:tcW w:w="1985" w:type="dxa"/>
            <w:hideMark/>
          </w:tcPr>
          <w:p w:rsidR="00B44DCB" w:rsidRPr="0021704C" w:rsidRDefault="00FF6902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Ноябрь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Упрощение пользования  сайтом методического совета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 Организация и систематизация информации по введению ФГОС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Зам. директора по УВР, Зав. </w:t>
            </w:r>
            <w:proofErr w:type="spellStart"/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медиатекоой</w:t>
            </w:r>
            <w:proofErr w:type="spellEnd"/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Аннотированные списки и каталоги.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  Организация создания 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молодыми учителями</w:t>
            </w:r>
          </w:p>
        </w:tc>
        <w:tc>
          <w:tcPr>
            <w:tcW w:w="1985" w:type="dxa"/>
            <w:hideMark/>
          </w:tcPr>
          <w:p w:rsidR="00B44DCB" w:rsidRPr="0021704C" w:rsidRDefault="00FF6902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Модель 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B44DC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2.5.   Организация </w:t>
            </w:r>
            <w:r w:rsidR="00FF690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наставничества в гимназии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  Уточнение списка молодых учителей (педагогический стаж до 5 лет)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 данных молодых учителей.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 Определение      наставников для молодых учителей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 2013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иректорапо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УВР,</w:t>
            </w:r>
            <w:r w:rsid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 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Наставник у каждого молодого учителя, закрепленный протоколом    заседания МО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  Разработка тестов, анкет для выявления профессиональных затруднений молодых педагогов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     течение учебного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иректорапо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УВР,  наставники 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Тесты, анкеты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  Организация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уроков молодыми учителями с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последующим их обсуждением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Не реже, чем 1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 в</w:t>
            </w:r>
            <w:r w:rsidR="00FF69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месяц.</w:t>
            </w:r>
          </w:p>
        </w:tc>
        <w:tc>
          <w:tcPr>
            <w:tcW w:w="2409" w:type="dxa"/>
            <w:hideMark/>
          </w:tcPr>
          <w:p w:rsidR="00B44DCB" w:rsidRPr="0021704C" w:rsidRDefault="00FF6902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lastRenderedPageBreak/>
              <w:t>З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УВР,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наставники</w:t>
            </w:r>
          </w:p>
          <w:p w:rsidR="00B44DCB" w:rsidRPr="0021704C" w:rsidRDefault="00B44DCB" w:rsidP="00C360FB">
            <w:pPr>
              <w:spacing w:before="75" w:after="1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График проведения уроков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молодыми учителями</w:t>
            </w:r>
          </w:p>
        </w:tc>
      </w:tr>
      <w:tr w:rsidR="00B44DCB" w:rsidRPr="0021704C" w:rsidTr="00C360FB">
        <w:tc>
          <w:tcPr>
            <w:tcW w:w="15451" w:type="dxa"/>
            <w:gridSpan w:val="4"/>
            <w:hideMark/>
          </w:tcPr>
          <w:p w:rsidR="00B44DCB" w:rsidRPr="0021704C" w:rsidRDefault="00C360FB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2.6</w:t>
            </w:r>
            <w:r w:rsidR="00B44DCB"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 Организация предметных недель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1.Составление графика проведения предметных недель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Август-сентябрь 2013 года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директора по УВР, руководители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2.Подготовка плана проведения предметных недель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Согласно утвержденному графику</w:t>
            </w:r>
          </w:p>
        </w:tc>
        <w:tc>
          <w:tcPr>
            <w:tcW w:w="2409" w:type="dxa"/>
            <w:hideMark/>
          </w:tcPr>
          <w:p w:rsidR="00B44DCB" w:rsidRPr="0021704C" w:rsidRDefault="00D87640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B44DCB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FF6902" w:rsidRPr="0021704C" w:rsidTr="00C360FB">
        <w:tc>
          <w:tcPr>
            <w:tcW w:w="7371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3.Размещение информации на сайте и на информационных стендах.</w:t>
            </w:r>
          </w:p>
        </w:tc>
        <w:tc>
          <w:tcPr>
            <w:tcW w:w="1985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Согласно утвержденному графику</w:t>
            </w:r>
          </w:p>
        </w:tc>
        <w:tc>
          <w:tcPr>
            <w:tcW w:w="2409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директора по УВР, руководители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686" w:type="dxa"/>
            <w:hideMark/>
          </w:tcPr>
          <w:p w:rsidR="00B44DCB" w:rsidRPr="0021704C" w:rsidRDefault="00B44DCB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F6902" w:rsidRPr="0021704C" w:rsidTr="00C360FB">
        <w:tc>
          <w:tcPr>
            <w:tcW w:w="15451" w:type="dxa"/>
            <w:gridSpan w:val="4"/>
            <w:hideMark/>
          </w:tcPr>
          <w:p w:rsidR="00FF6902" w:rsidRPr="0021704C" w:rsidRDefault="00FF6902" w:rsidP="00C360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6902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 xml:space="preserve">III. </w:t>
            </w:r>
            <w:r w:rsidRPr="00FF690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Научно – методическая деятельность</w:t>
            </w:r>
          </w:p>
        </w:tc>
      </w:tr>
      <w:tr w:rsidR="00C360FB" w:rsidRPr="0021704C" w:rsidTr="00F007FE">
        <w:tc>
          <w:tcPr>
            <w:tcW w:w="15451" w:type="dxa"/>
            <w:gridSpan w:val="4"/>
            <w:hideMark/>
          </w:tcPr>
          <w:p w:rsidR="00C360FB" w:rsidRPr="0021704C" w:rsidRDefault="00C360FB" w:rsidP="00C360F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   Школа молодого учителя</w:t>
            </w:r>
          </w:p>
        </w:tc>
      </w:tr>
    </w:tbl>
    <w:tbl>
      <w:tblPr>
        <w:tblStyle w:val="a4"/>
        <w:tblW w:w="15452" w:type="dxa"/>
        <w:tblInd w:w="-318" w:type="dxa"/>
        <w:tblLook w:val="04A0"/>
      </w:tblPr>
      <w:tblGrid>
        <w:gridCol w:w="7359"/>
        <w:gridCol w:w="1998"/>
        <w:gridCol w:w="2409"/>
        <w:gridCol w:w="3686"/>
      </w:tblGrid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1.Разработка и утверждение «Программы поддержки начинающего учителя».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hideMark/>
          </w:tcPr>
          <w:p w:rsidR="0039114F" w:rsidRPr="0021704C" w:rsidRDefault="0039114F" w:rsidP="00D8764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Зам. 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D87640">
              <w:rPr>
                <w:rFonts w:eastAsia="Times New Roman" w:cs="Times New Roman"/>
                <w:sz w:val="24"/>
                <w:szCs w:val="24"/>
                <w:lang w:eastAsia="ru-RU"/>
              </w:rPr>
              <w:t>НМР</w:t>
            </w:r>
            <w:r w:rsidR="00D876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руководители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МО, наставники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 Анкетирование и тестирование.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УВР, наставники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             о выявленных затруднениях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   Посещение наставником уроков молодого учителя.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мере необходимости, но не реже, чем 1 раз в месяц.</w:t>
            </w:r>
          </w:p>
        </w:tc>
        <w:tc>
          <w:tcPr>
            <w:tcW w:w="240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УВР, учителя наставники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   и самоанализ уроков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 Посещение молодым учителем уроков наставников.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реже, чем 1 раз в месяц.</w:t>
            </w:r>
          </w:p>
        </w:tc>
        <w:tc>
          <w:tcPr>
            <w:tcW w:w="240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Зам. директора по НМР, учителя наставники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   и самоанализ уроков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5.  </w:t>
            </w:r>
            <w:proofErr w:type="spellStart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уроков молодыми учителями с последующим обсуждением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реже, чем 1 раз в месяц.</w:t>
            </w:r>
          </w:p>
        </w:tc>
        <w:tc>
          <w:tcPr>
            <w:tcW w:w="2409" w:type="dxa"/>
            <w:hideMark/>
          </w:tcPr>
          <w:p w:rsidR="0039114F" w:rsidRPr="0021704C" w:rsidRDefault="00D87640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39114F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иректора по НМР, учителя наставники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   и самоанализ уроков</w:t>
            </w:r>
          </w:p>
        </w:tc>
      </w:tr>
      <w:tr w:rsidR="0039114F" w:rsidRPr="0021704C" w:rsidTr="00C360FB">
        <w:tc>
          <w:tcPr>
            <w:tcW w:w="15452" w:type="dxa"/>
            <w:gridSpan w:val="4"/>
            <w:hideMark/>
          </w:tcPr>
          <w:p w:rsidR="0039114F" w:rsidRPr="0021704C" w:rsidRDefault="0039114F" w:rsidP="00C360FB">
            <w:pPr>
              <w:spacing w:before="75" w:after="15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C360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1704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  Внутреннее обучение педагогов гимназии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Научно – практический семинар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Лаборатория современного урока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686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Рост доли педагогов, активно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педагогические технологии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Заседания Клуба учителей гимназии</w:t>
            </w:r>
          </w:p>
        </w:tc>
        <w:tc>
          <w:tcPr>
            <w:tcW w:w="1998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09" w:type="dxa"/>
            <w:hideMark/>
          </w:tcPr>
          <w:p w:rsidR="0039114F" w:rsidRPr="0021704C" w:rsidRDefault="0039114F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686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Рост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сплоченности педагогического коллектива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3.Обучения педагогов на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дистанционных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курсах Школьная Лига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Роснано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СПбГПУ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им. Герцена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(через систему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видеокоференцсвязи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Ноябрь , 2013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март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686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Рост доли педагогов повышающих квалификацию дистанционно, освоивших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Default="0039114F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Повыщение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квалификации на дистанционных курсах федеральной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площадки ГОУ Лицей №560 г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анкт – Петербург)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школой в современных условиях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(через систему видеоконференцсвязи)</w:t>
            </w:r>
          </w:p>
        </w:tc>
        <w:tc>
          <w:tcPr>
            <w:tcW w:w="1998" w:type="dxa"/>
            <w:hideMark/>
          </w:tcPr>
          <w:p w:rsidR="0039114F" w:rsidRDefault="0039114F" w:rsidP="00C360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ктябрь , 2013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hideMark/>
          </w:tcPr>
          <w:p w:rsidR="0039114F" w:rsidRPr="0021704C" w:rsidRDefault="00C360FB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 гимназии</w:t>
            </w:r>
          </w:p>
        </w:tc>
        <w:tc>
          <w:tcPr>
            <w:tcW w:w="3686" w:type="dxa"/>
            <w:hideMark/>
          </w:tcPr>
          <w:p w:rsidR="0039114F" w:rsidRPr="0021704C" w:rsidRDefault="00C360FB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Рост уровня качества управления гимназией</w:t>
            </w:r>
          </w:p>
        </w:tc>
      </w:tr>
      <w:tr w:rsidR="0039114F" w:rsidRPr="0021704C" w:rsidTr="00C25A86">
        <w:tc>
          <w:tcPr>
            <w:tcW w:w="7359" w:type="dxa"/>
            <w:hideMark/>
          </w:tcPr>
          <w:p w:rsidR="0039114F" w:rsidRPr="0021704C" w:rsidRDefault="00C360FB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 w:rsidR="0039114F"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.Психологические тренинги. Просвещение по вопросам синдрома эмоционального выгорания (СЭВ)</w:t>
            </w:r>
          </w:p>
        </w:tc>
        <w:tc>
          <w:tcPr>
            <w:tcW w:w="1998" w:type="dxa"/>
            <w:hideMark/>
          </w:tcPr>
          <w:p w:rsidR="0039114F" w:rsidRPr="0021704C" w:rsidRDefault="0039114F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 раз в четверть </w:t>
            </w:r>
          </w:p>
        </w:tc>
        <w:tc>
          <w:tcPr>
            <w:tcW w:w="2409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едагог - психолог</w:t>
            </w:r>
          </w:p>
        </w:tc>
        <w:tc>
          <w:tcPr>
            <w:tcW w:w="3686" w:type="dxa"/>
            <w:hideMark/>
          </w:tcPr>
          <w:p w:rsidR="0039114F" w:rsidRPr="0021704C" w:rsidRDefault="0039114F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Снижение доли конфликтных ситуаций у педагогов с родителями, с учащимися, с коллегами</w:t>
            </w:r>
          </w:p>
        </w:tc>
      </w:tr>
      <w:tr w:rsidR="00C360FB" w:rsidRPr="0021704C" w:rsidTr="00C25A86">
        <w:tc>
          <w:tcPr>
            <w:tcW w:w="7359" w:type="dxa"/>
            <w:hideMark/>
          </w:tcPr>
          <w:p w:rsidR="00C360FB" w:rsidRPr="00C360FB" w:rsidRDefault="00C360FB" w:rsidP="00C360FB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  <w:r w:rsidRPr="00C360F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Творческие отчеты предметных методических объединений </w:t>
            </w:r>
          </w:p>
        </w:tc>
        <w:tc>
          <w:tcPr>
            <w:tcW w:w="1998" w:type="dxa"/>
            <w:hideMark/>
          </w:tcPr>
          <w:p w:rsidR="00C360FB" w:rsidRDefault="00C360FB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передметных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2409" w:type="dxa"/>
            <w:hideMark/>
          </w:tcPr>
          <w:p w:rsidR="00C360FB" w:rsidRDefault="00C360FB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686" w:type="dxa"/>
            <w:hideMark/>
          </w:tcPr>
          <w:p w:rsidR="00C360FB" w:rsidRPr="0021704C" w:rsidRDefault="00C360FB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Рост степени открытости информации о деятельности МО</w:t>
            </w:r>
          </w:p>
        </w:tc>
      </w:tr>
      <w:tr w:rsidR="00C360FB" w:rsidRPr="0021704C" w:rsidTr="00C25A86">
        <w:tc>
          <w:tcPr>
            <w:tcW w:w="7359" w:type="dxa"/>
            <w:hideMark/>
          </w:tcPr>
          <w:p w:rsidR="00C360FB" w:rsidRPr="00C360FB" w:rsidRDefault="00C360FB" w:rsidP="00C360FB">
            <w:pPr>
              <w:pStyle w:val="a5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7.Круглый стол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работы творческих лабораторий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hideMark/>
          </w:tcPr>
          <w:p w:rsidR="00C360FB" w:rsidRDefault="00C360FB" w:rsidP="003911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прель, 2014</w:t>
            </w:r>
          </w:p>
        </w:tc>
        <w:tc>
          <w:tcPr>
            <w:tcW w:w="2409" w:type="dxa"/>
            <w:hideMark/>
          </w:tcPr>
          <w:p w:rsidR="00C360FB" w:rsidRDefault="00C360FB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704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686" w:type="dxa"/>
            <w:hideMark/>
          </w:tcPr>
          <w:p w:rsidR="00C360FB" w:rsidRDefault="00C360FB" w:rsidP="0090243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39114F" w:rsidRPr="0021704C" w:rsidRDefault="0039114F" w:rsidP="0039114F">
      <w:pPr>
        <w:rPr>
          <w:sz w:val="24"/>
          <w:szCs w:val="24"/>
        </w:rPr>
      </w:pPr>
    </w:p>
    <w:p w:rsidR="00D42BB2" w:rsidRDefault="00D42BB2" w:rsidP="00D42BB2">
      <w:pPr>
        <w:spacing w:before="75" w:after="15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17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39114F" w:rsidRDefault="0039114F" w:rsidP="00D42BB2">
      <w:pPr>
        <w:spacing w:before="75" w:after="15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39114F" w:rsidRDefault="0039114F" w:rsidP="00D42BB2">
      <w:pPr>
        <w:spacing w:before="75" w:after="15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39114F" w:rsidRDefault="0039114F" w:rsidP="00D42BB2">
      <w:pPr>
        <w:spacing w:before="75" w:after="15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E61427" w:rsidRPr="0021704C" w:rsidRDefault="00D87640">
      <w:pPr>
        <w:rPr>
          <w:sz w:val="24"/>
          <w:szCs w:val="24"/>
        </w:rPr>
      </w:pPr>
    </w:p>
    <w:sectPr w:rsidR="00E61427" w:rsidRPr="0021704C" w:rsidSect="0021704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F53"/>
    <w:multiLevelType w:val="multilevel"/>
    <w:tmpl w:val="09DE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BB2"/>
    <w:rsid w:val="0021704C"/>
    <w:rsid w:val="0039114F"/>
    <w:rsid w:val="00B44DCB"/>
    <w:rsid w:val="00B85C02"/>
    <w:rsid w:val="00C25A86"/>
    <w:rsid w:val="00C360FB"/>
    <w:rsid w:val="00D115F9"/>
    <w:rsid w:val="00D42BB2"/>
    <w:rsid w:val="00D66DC1"/>
    <w:rsid w:val="00D87640"/>
    <w:rsid w:val="00DC472A"/>
    <w:rsid w:val="00EC1935"/>
    <w:rsid w:val="00F9465A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2"/>
  </w:style>
  <w:style w:type="paragraph" w:styleId="2">
    <w:name w:val="heading 2"/>
    <w:basedOn w:val="a"/>
    <w:link w:val="20"/>
    <w:uiPriority w:val="9"/>
    <w:qFormat/>
    <w:rsid w:val="00D42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BB2"/>
  </w:style>
  <w:style w:type="table" w:styleId="a4">
    <w:name w:val="Table Grid"/>
    <w:basedOn w:val="a1"/>
    <w:uiPriority w:val="59"/>
    <w:rsid w:val="0021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AWJJH2MPE6E2-1186165103-3</_dlc_DocId>
    <_dlc_DocIdUrl xmlns="4a252ca3-5a62-4c1c-90a6-29f4710e47f8">
      <Url>http://xn--44-6kcadhwnl3cfdx.xn--p1ai/Sharya/School3/_layouts/15/DocIdRedir.aspx?ID=AWJJH2MPE6E2-1186165103-3</Url>
      <Description>AWJJH2MPE6E2-1186165103-3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2F4E078FF7B0428B2F1C58D034E978" ma:contentTypeVersion="49" ma:contentTypeDescription="Создание документа." ma:contentTypeScope="" ma:versionID="4561d1c7ee02b3b8ea0b3e2619319d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63B2C44-6B3A-4AD4-A813-61CF584072E3}"/>
</file>

<file path=customXml/itemProps2.xml><?xml version="1.0" encoding="utf-8"?>
<ds:datastoreItem xmlns:ds="http://schemas.openxmlformats.org/officeDocument/2006/customXml" ds:itemID="{4090921D-732B-4433-B7E4-7AEED4D1B44D}"/>
</file>

<file path=customXml/itemProps3.xml><?xml version="1.0" encoding="utf-8"?>
<ds:datastoreItem xmlns:ds="http://schemas.openxmlformats.org/officeDocument/2006/customXml" ds:itemID="{C256AAB4-EFB5-47D5-A5FB-2AD84F01E459}"/>
</file>

<file path=customXml/itemProps4.xml><?xml version="1.0" encoding="utf-8"?>
<ds:datastoreItem xmlns:ds="http://schemas.openxmlformats.org/officeDocument/2006/customXml" ds:itemID="{D654A9C9-8B59-4157-81C7-2C6FA1549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</cp:revision>
  <dcterms:created xsi:type="dcterms:W3CDTF">2013-11-19T05:23:00Z</dcterms:created>
  <dcterms:modified xsi:type="dcterms:W3CDTF">2013-11-19T06:46:00Z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0x010100E52F4E078FF7B0428B2F1C58D034E978</vt:lpwstr>
  </property>
  <property fmtid="{D5CDD505-2E9C-101B-9397-08002B2CF9AE}" pid="3" name="_dlc_DocIdItemGuid">
    <vt:lpwstr>db4eea31-cf19-4a4a-b887-43cf63b1993a</vt:lpwstr>
  </property>
</Properties>
</file>