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9C" w:rsidRPr="0003069C" w:rsidRDefault="0003069C" w:rsidP="0003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9C">
        <w:rPr>
          <w:rFonts w:ascii="Times New Roman" w:hAnsi="Times New Roman" w:cs="Times New Roman"/>
          <w:b/>
          <w:sz w:val="28"/>
          <w:szCs w:val="28"/>
        </w:rPr>
        <w:t xml:space="preserve">Рейтинг востребованных профессий </w:t>
      </w:r>
      <w:r w:rsidR="005941D6">
        <w:rPr>
          <w:rFonts w:ascii="Times New Roman" w:hAnsi="Times New Roman" w:cs="Times New Roman"/>
          <w:b/>
          <w:sz w:val="28"/>
          <w:szCs w:val="28"/>
        </w:rPr>
        <w:t xml:space="preserve">с указанием учебных заведений </w:t>
      </w:r>
      <w:r w:rsidRPr="0003069C">
        <w:rPr>
          <w:rFonts w:ascii="Times New Roman" w:hAnsi="Times New Roman" w:cs="Times New Roman"/>
          <w:b/>
          <w:sz w:val="28"/>
          <w:szCs w:val="28"/>
        </w:rPr>
        <w:t>Костромской области в 2019</w:t>
      </w:r>
      <w:r w:rsidR="005D0BE8">
        <w:rPr>
          <w:rFonts w:ascii="Times New Roman" w:hAnsi="Times New Roman" w:cs="Times New Roman"/>
          <w:b/>
          <w:sz w:val="28"/>
          <w:szCs w:val="28"/>
        </w:rPr>
        <w:t>-2020</w:t>
      </w:r>
      <w:bookmarkStart w:id="0" w:name="_GoBack"/>
      <w:bookmarkEnd w:id="0"/>
      <w:r w:rsidRPr="0003069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58"/>
        <w:gridCol w:w="2085"/>
        <w:gridCol w:w="1373"/>
        <w:gridCol w:w="1688"/>
        <w:gridCol w:w="1721"/>
        <w:gridCol w:w="7312"/>
      </w:tblGrid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Рабочие профессии (специальности)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Общее количество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Минимальная зарплата,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Максимальная зарплата,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5636">
              <w:rPr>
                <w:rFonts w:ascii="Times New Roman" w:hAnsi="Times New Roman" w:cs="Times New Roman"/>
                <w:sz w:val="24"/>
              </w:rPr>
              <w:t>Учебные заведения Костромской области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Швея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651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бытового сервиса»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Водитель автомобиля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312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автодорожный колледж»,</w:t>
            </w:r>
          </w:p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«Костромской автотранспортный колледж», ОГБПОУ «Шарьинский аграрный техникум Костромской области», 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ОГБПОУ «Галичский аграрно-технологический колледж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Проводник пассажирского вагона</w:t>
            </w:r>
          </w:p>
        </w:tc>
        <w:tc>
          <w:tcPr>
            <w:tcW w:w="1373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125</w:t>
            </w:r>
          </w:p>
        </w:tc>
        <w:tc>
          <w:tcPr>
            <w:tcW w:w="1688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20000</w:t>
            </w:r>
          </w:p>
        </w:tc>
        <w:tc>
          <w:tcPr>
            <w:tcW w:w="1721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25000</w:t>
            </w:r>
          </w:p>
        </w:tc>
        <w:tc>
          <w:tcPr>
            <w:tcW w:w="7312" w:type="dxa"/>
            <w:vAlign w:val="center"/>
          </w:tcPr>
          <w:p w:rsidR="0003069C" w:rsidRPr="0078301E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Стрелок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17640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Станочник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14250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ОГБПОУ «Костромской торгово-экономический колледж»,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градостроительства и предпринимательства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ОГБПОУ «Шарьинский аграрный техникум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 Костромской области», ОГБПОУ «Шарьинский политехнический техникум», ОГБПОУ «Галичский аграрно-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технологический колледж Костромской области», ОГБПОУ «Костромской автодорожный колледж», ОГБПОУ «Костромской техникум торговли и питания»</w:t>
            </w:r>
            <w:proofErr w:type="gramEnd"/>
          </w:p>
        </w:tc>
      </w:tr>
      <w:tr w:rsidR="0003069C" w:rsidTr="007102F3">
        <w:tc>
          <w:tcPr>
            <w:tcW w:w="55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котельной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16290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энергетический техникум им. Ф.В. Чижова»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Тракторист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18500</w:t>
            </w:r>
          </w:p>
        </w:tc>
        <w:tc>
          <w:tcPr>
            <w:tcW w:w="7312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«Шарьинский аграрный техникум Костромской области», </w:t>
            </w:r>
          </w:p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</w:t>
            </w:r>
          </w:p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автодорожный колледж», ОГБПОУ «Галичский аграрно-технологический колледж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 Костромской области», ОГБПОУ «Костромской автотранспортный колледж»,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машинного доения, дояр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техникум торговли и питания», ОГБПОУ «Костромской торгово-экономический колледж», ОГБПОУ «Костромской автодорожный колледж»,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 Костромской области»,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области», ОГБПОУ «Шарьинский политехнический техникум», ОГБПОУ «Галичский аграрно-технологический колледж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ЧУПО «Костромской  технологический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связи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11163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15384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бытового сервиса»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Радиотелеграфист 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Ювелир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техникум», «Костромское училище художественной обработки металлов (филиал) ФГБОУ ВПО «Московская государственно-промышленная академия им. С.Г. Строганова»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Монтер пути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области», ОГБПОУ «Шарьинский политехнический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«Костромской машиностроительный техникум», ОГБПОУ «Шарьинский политехнический техникум», 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Рамщик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отраслевых технологий строительства и лесной промышленности», ОГБПОУ «Шарьинский политехнический техникум»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Сварщик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техникум», ОГБПОУ «Костромской колледж отраслевых технологий строительства и лесной промышленности», ОГБПОУ «Костромской колледж бытового сервиса», ОГБПОУ «Галичский аграрно-технологический колледж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Волгореченский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промышленный техникум Костромской области»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Пекарь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торгово-экономический колледж»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Оператор технологических установок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58" w:type="dxa"/>
            <w:vAlign w:val="center"/>
          </w:tcPr>
          <w:p w:rsidR="0003069C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85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Почтальон</w:t>
            </w:r>
          </w:p>
        </w:tc>
        <w:tc>
          <w:tcPr>
            <w:tcW w:w="1373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688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72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7312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колледж бытового сервиса»</w:t>
            </w:r>
          </w:p>
        </w:tc>
      </w:tr>
    </w:tbl>
    <w:p w:rsidR="0003069C" w:rsidRDefault="0003069C" w:rsidP="000306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F2E07">
        <w:rPr>
          <w:rFonts w:ascii="Times New Roman" w:hAnsi="Times New Roman" w:cs="Times New Roman"/>
          <w:b/>
          <w:sz w:val="24"/>
        </w:rPr>
        <w:t>СЛУЖАЩИЕ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701"/>
        <w:gridCol w:w="1701"/>
        <w:gridCol w:w="7371"/>
      </w:tblGrid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517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областной медицинский колледж имени Героя Советского Союза С.А. Богомолова», ОГБПОУ «Шарьинский медицинский колледж»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Фельдшер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13331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18944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областной медицинский колледж имени Героя Советского Союза С.А. Богомолова», ОГБПОУ «Шарьинский медицинский колледж»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«Шарьинский педагогический колледж Костромской области», ОГБПОУ «Галичский педагогический колледж Костромской области», 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университет», ФГБОУ ВО «Костромская государственная сельскохозяйственная академия»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Механик на производстве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ОГБПОУ «Костромской машиностроительный техникум»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18960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23163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27000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ОГБПОУ «Шарьинский политехнический техникум», ОГБПОУ «Шарьинский аграрный техникум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 Костромской 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политехнический техникум», ОГБПОУ «Костромской автодорожный колледж», ОГБПОУ «Костромской автотранспортный колледж», ОГБПОУ «Костромской политехнический колледж», ОГБПОУ «Костромской колледж отраслевых технологий строительства и лесной промышленности», ОГБПОУ «Костромской машиностроительный техникум», ОГБПОУ</w:t>
            </w:r>
            <w:r w:rsidRPr="007830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 железнодорожного транспорта Костромской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области»,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Чухломский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лесопромышленный техникум им. Ф.В. Чижова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Костромской области», ОГБПОУ «Костромской торгово-экономический колледж», ОГБПОУ «Костромской энергетический техникум им. Ф.В. Чижова»</w:t>
            </w:r>
          </w:p>
        </w:tc>
      </w:tr>
      <w:tr w:rsidR="0003069C" w:rsidTr="007102F3">
        <w:tc>
          <w:tcPr>
            <w:tcW w:w="562" w:type="dxa"/>
            <w:vAlign w:val="center"/>
          </w:tcPr>
          <w:p w:rsidR="0003069C" w:rsidRPr="003407B6" w:rsidRDefault="0003069C" w:rsidP="007102F3">
            <w:pPr>
              <w:jc w:val="center"/>
              <w:rPr>
                <w:rFonts w:ascii="Times New Roman" w:hAnsi="Times New Roman" w:cs="Times New Roman"/>
              </w:rPr>
            </w:pPr>
            <w:r w:rsidRPr="003407B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03069C" w:rsidRPr="00305636" w:rsidRDefault="0003069C" w:rsidP="00710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275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11600</w:t>
            </w:r>
          </w:p>
        </w:tc>
        <w:tc>
          <w:tcPr>
            <w:tcW w:w="170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14537</w:t>
            </w:r>
          </w:p>
        </w:tc>
        <w:tc>
          <w:tcPr>
            <w:tcW w:w="7371" w:type="dxa"/>
            <w:vAlign w:val="center"/>
          </w:tcPr>
          <w:p w:rsidR="0003069C" w:rsidRPr="00305636" w:rsidRDefault="0003069C" w:rsidP="007102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«Шарьинский педагогический колледж Костромской области», ОГБПОУ «Галичский педагогический колледж Костромской области», 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«Костромской государственный университет»</w:t>
            </w:r>
          </w:p>
        </w:tc>
      </w:tr>
    </w:tbl>
    <w:p w:rsidR="004869AF" w:rsidRDefault="004869AF"/>
    <w:sectPr w:rsidR="004869AF" w:rsidSect="0003069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69C"/>
    <w:rsid w:val="0003069C"/>
    <w:rsid w:val="00366E20"/>
    <w:rsid w:val="004869AF"/>
    <w:rsid w:val="005941D6"/>
    <w:rsid w:val="005D0BE8"/>
    <w:rsid w:val="00A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69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6Q454C4S776C-91-1855</_dlc_DocId>
    <_dlc_DocIdUrl xmlns="fb166eb0-c3f2-4116-b942-42f93c0d30c0">
      <Url>http://www.eduportal44.ru/Neya/Nom/_layouts/15/DocIdRedir.aspx?ID=6Q454C4S776C-91-1855</Url>
      <Description>6Q454C4S776C-91-1855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EFBF1-8169-4E93-AE25-DE4A22DB12CA}"/>
</file>

<file path=customXml/itemProps2.xml><?xml version="1.0" encoding="utf-8"?>
<ds:datastoreItem xmlns:ds="http://schemas.openxmlformats.org/officeDocument/2006/customXml" ds:itemID="{D36FAEA7-6197-41AC-AA6B-D0189653A62C}"/>
</file>

<file path=customXml/itemProps3.xml><?xml version="1.0" encoding="utf-8"?>
<ds:datastoreItem xmlns:ds="http://schemas.openxmlformats.org/officeDocument/2006/customXml" ds:itemID="{25D9A774-FF4D-41CB-949A-8611C45DE881}"/>
</file>

<file path=customXml/itemProps4.xml><?xml version="1.0" encoding="utf-8"?>
<ds:datastoreItem xmlns:ds="http://schemas.openxmlformats.org/officeDocument/2006/customXml" ds:itemID="{B9BC6D01-00C0-485A-BE6A-B285FDABB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907</Words>
  <Characters>5176</Characters>
  <Application>Microsoft Office Word</Application>
  <DocSecurity>0</DocSecurity>
  <Lines>43</Lines>
  <Paragraphs>12</Paragraphs>
  <ScaleCrop>false</ScaleCrop>
  <Company>dep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лямина</dc:creator>
  <cp:keywords/>
  <dc:description/>
  <cp:lastModifiedBy>Dom</cp:lastModifiedBy>
  <cp:revision>3</cp:revision>
  <dcterms:created xsi:type="dcterms:W3CDTF">2019-01-24T06:50:00Z</dcterms:created>
  <dcterms:modified xsi:type="dcterms:W3CDTF">2020-04-29T09:49:00Z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25f383d9-ed41-41e6-b2d8-478ea2bd34c8</vt:lpwstr>
  </property>
</Properties>
</file>