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2D" w:rsidRPr="0048592D" w:rsidRDefault="00C8321D" w:rsidP="0048592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7 “а» 2</w:t>
      </w:r>
      <w:r>
        <w:rPr>
          <w:sz w:val="28"/>
          <w:szCs w:val="28"/>
          <w:lang w:val="en-US"/>
        </w:rPr>
        <w:t>5</w:t>
      </w:r>
      <w:r w:rsidR="0048592D">
        <w:rPr>
          <w:sz w:val="28"/>
          <w:szCs w:val="28"/>
        </w:rPr>
        <w:t xml:space="preserve">.05.2020г. </w:t>
      </w:r>
      <w:r w:rsidR="0048592D">
        <w:rPr>
          <w:rFonts w:ascii="Times New Roman" w:hAnsi="Times New Roman" w:cs="Times New Roman"/>
          <w:sz w:val="28"/>
          <w:szCs w:val="28"/>
        </w:rPr>
        <w:t>Тема урока  “</w:t>
      </w:r>
      <w:r w:rsidR="00485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Фигуры, симметричные относительно оси симметрии и центра</w:t>
      </w:r>
      <w:r w:rsidR="0048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 — слово греческого происхождения, как и многие другие слова, которые связаны с математикой. Оно означает соразмерность, наличие определённого порядка, закономерности в расположении частей. Смотря на объекты вокруг, мы не раз восклицаем: «Какая симметрия!»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971800"/>
            <wp:effectExtent l="19050" t="0" r="0" b="0"/>
            <wp:docPr id="1" name="Рисунок 1" descr="Aksial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sial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 давних времён использовали симметрию в рисунках, орнаментах, предметах быта, в архитектуре, художестве, строительстве.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симметрия широко распространена и в природе, где не было вмешательства человеческой руки. Её можно наблюдать в форме листьев и цветов растений, в расположении различных органов животных, в форме кристаллических тел, в порхающей бабочке, загадочной снежинке, морской звезде.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3133725"/>
            <wp:effectExtent l="19050" t="0" r="9525" b="0"/>
            <wp:docPr id="2" name="Рисунок 2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рассмотрим две симметрии на плоскости: относительно точки и прямой.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  симметрия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Симметрию относительно точки называют центральной симметрией.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M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M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симметричны относительно </w:t>
      </w:r>
      <w:r w:rsidRPr="004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некоторой точки 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точка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серединой отрезка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MM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2457450"/>
            <wp:effectExtent l="19050" t="0" r="9525" b="0"/>
            <wp:docPr id="3" name="Рисунок 3" descr="Simetrija_c_punk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etrija_c_punk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Точка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центром симметрии.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построения центрально-симметричных фигур.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4276725"/>
            <wp:effectExtent l="0" t="0" r="0" b="0"/>
            <wp:docPr id="4" name="Рисунок 4" descr="Simetrija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etrija_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Построим треугольник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симметричный треугольнику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ABC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центра (точки)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для этого соединим точки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центром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продолжим эти отрезки;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измерим отрезки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отложим с другой стороны от точки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равные им отрезки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AO</w:t>
      </w:r>
      <w:r w:rsidRPr="0048592D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OA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in" w:eastAsia="Times New Roman" w:hAnsi="MathJax_Main" w:cs="Times New Roman"/>
          <w:sz w:val="30"/>
          <w:lang w:eastAsia="ru-RU"/>
        </w:rPr>
        <w:t>;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BO</w:t>
      </w:r>
      <w:r w:rsidRPr="0048592D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OB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in" w:eastAsia="Times New Roman" w:hAnsi="MathJax_Main" w:cs="Times New Roman"/>
          <w:sz w:val="30"/>
          <w:lang w:eastAsia="ru-RU"/>
        </w:rPr>
        <w:t>;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CO</w:t>
      </w:r>
      <w:r w:rsidRPr="0048592D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OC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соединим получившиеся точки отрезками и получим треугольник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симметричный данному треугольнику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ABC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Фигуры, симметричные относительно некоторой точки, равны.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симметрична относительно центра симметрии, если для каждой этой точки фигуры симметричная ей точка также лежит на этой фигуре. Такая фигура имеет центр симметрии (фигура с центральной симметрией).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фигуры с центральной симметрией, это, например, окружность и параллелограмм. У окружности центр симметрии — это её центр, у параллелограмма центр симметрии — это точка, в которой пересекаются его диагонали. Есть очень много фигур, у которых нет центра симметрии.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симметрия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симметрия — это симметрия относительно проведённой прямой (оси).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M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M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симметричны относительно </w:t>
      </w:r>
      <w:r w:rsidRPr="004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некоторой прямой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(оси симметрии), если эти точки лежат на прямой, перпендикулярной данной, и на одинаковом расстоянии от оси симметрии.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3629025"/>
            <wp:effectExtent l="0" t="0" r="0" b="0"/>
            <wp:docPr id="5" name="Рисунок 5" descr="Simetrija_ass_punk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etrija_ass_punkt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построения фигуры, симметричной относительно некоторой прямой.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590925"/>
            <wp:effectExtent l="0" t="0" r="0" b="0"/>
            <wp:docPr id="6" name="Рисунок 6" descr="Simetrija_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etrija_a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Построим треугольник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симметричный треугольнику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ABC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красной прямой: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этого проведём из вершин треугольника 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ABC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прямые, перпендикулярные оси симметрии, и продолжим их дальше на другой стороне оси.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Измерим расстояния от вершин треугольника до получившихся точек на прямой и отложим с другой стороны прямой такие же расстояния.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Соединим получившиеся точки отрезками и получим треугольник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B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48592D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симметричный данному треугольнику </w:t>
      </w:r>
      <w:r w:rsidRPr="0048592D">
        <w:rPr>
          <w:rFonts w:ascii="MathJax_Math" w:eastAsia="Times New Roman" w:hAnsi="MathJax_Math" w:cs="Times New Roman"/>
          <w:i/>
          <w:iCs/>
          <w:sz w:val="30"/>
          <w:lang w:eastAsia="ru-RU"/>
        </w:rPr>
        <w:t>ABC</w:t>
      </w: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Фигуры, симметричные относительно прямой, равны.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Фигура считается симметричной относительно прямой, если для каждой точки рассматриваемой фигуры симметричная для неё точка относительно данной прямой также находится на этой фигуре. Прямая является в этом случае осью симметрии фигуры.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 фигур несколько осей симметрии: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неразвёрнутого угла существует единственная ось симметрии — это биссектриса данного угла.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равнобедренного треугольника есть единственная ось симметрии.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равностороннего треугольника — три оси. 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прямоугольника и ромба существуют две оси симметрии.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квадрата — целых четыре.</w:t>
      </w:r>
    </w:p>
    <w:p w:rsidR="0048592D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окружности осей симметрии бесчисленное множество — это каждая прямая, которая проходит через центр этой фигуры.</w:t>
      </w:r>
    </w:p>
    <w:p w:rsidR="00056F3E" w:rsidRPr="0048592D" w:rsidRDefault="0048592D" w:rsidP="00485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фигуры без осей симметрии — это параллелограмм и треугольник, все стороны которого различны.</w:t>
      </w:r>
    </w:p>
    <w:p w:rsidR="0048592D" w:rsidRDefault="0048592D">
      <w:proofErr w:type="spellStart"/>
      <w:r w:rsidRPr="0048592D">
        <w:t>Видеоурок</w:t>
      </w:r>
      <w:proofErr w:type="spellEnd"/>
      <w:r w:rsidRPr="0048592D">
        <w:t xml:space="preserve">:  </w:t>
      </w:r>
      <w:hyperlink r:id="rId11" w:history="1">
        <w:r w:rsidRPr="00DC366F">
          <w:rPr>
            <w:rStyle w:val="a6"/>
            <w:lang w:val="en-US"/>
          </w:rPr>
          <w:t>https</w:t>
        </w:r>
        <w:r w:rsidRPr="00DC366F">
          <w:rPr>
            <w:rStyle w:val="a6"/>
          </w:rPr>
          <w:t>://</w:t>
        </w:r>
        <w:proofErr w:type="spellStart"/>
        <w:r w:rsidRPr="00DC366F">
          <w:rPr>
            <w:rStyle w:val="a6"/>
            <w:lang w:val="en-US"/>
          </w:rPr>
          <w:t>vk</w:t>
        </w:r>
        <w:proofErr w:type="spellEnd"/>
        <w:r w:rsidRPr="00DC366F">
          <w:rPr>
            <w:rStyle w:val="a6"/>
          </w:rPr>
          <w:t>.</w:t>
        </w:r>
        <w:r w:rsidRPr="00DC366F">
          <w:rPr>
            <w:rStyle w:val="a6"/>
            <w:lang w:val="en-US"/>
          </w:rPr>
          <w:t>com</w:t>
        </w:r>
        <w:r w:rsidRPr="00DC366F">
          <w:rPr>
            <w:rStyle w:val="a6"/>
          </w:rPr>
          <w:t>/</w:t>
        </w:r>
        <w:r w:rsidRPr="00DC366F">
          <w:rPr>
            <w:rStyle w:val="a6"/>
            <w:lang w:val="en-US"/>
          </w:rPr>
          <w:t>video</w:t>
        </w:r>
        <w:r w:rsidRPr="00DC366F">
          <w:rPr>
            <w:rStyle w:val="a6"/>
          </w:rPr>
          <w:t>-166304890_456239329</w:t>
        </w:r>
      </w:hyperlink>
    </w:p>
    <w:p w:rsidR="0048592D" w:rsidRPr="0048592D" w:rsidRDefault="0048592D">
      <w:r>
        <w:lastRenderedPageBreak/>
        <w:t xml:space="preserve">Задание: построить треугольник симметричный относительно точки О, относительно </w:t>
      </w:r>
      <w:proofErr w:type="spellStart"/>
      <w:r>
        <w:t>пряиойт=</w:t>
      </w:r>
      <w:proofErr w:type="spellEnd"/>
      <w:r>
        <w:t xml:space="preserve"> а</w:t>
      </w:r>
    </w:p>
    <w:p w:rsidR="0048592D" w:rsidRPr="0048592D" w:rsidRDefault="0048592D"/>
    <w:sectPr w:rsidR="0048592D" w:rsidRPr="0048592D" w:rsidSect="0005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39F"/>
    <w:multiLevelType w:val="multilevel"/>
    <w:tmpl w:val="213C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92D"/>
    <w:rsid w:val="00043D31"/>
    <w:rsid w:val="00056F3E"/>
    <w:rsid w:val="0048592D"/>
    <w:rsid w:val="00C8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48592D"/>
  </w:style>
  <w:style w:type="character" w:customStyle="1" w:styleId="gxst-color-emph">
    <w:name w:val="gxst-color-emph"/>
    <w:basedOn w:val="a0"/>
    <w:rsid w:val="0048592D"/>
  </w:style>
  <w:style w:type="character" w:customStyle="1" w:styleId="mi">
    <w:name w:val="mi"/>
    <w:basedOn w:val="a0"/>
    <w:rsid w:val="0048592D"/>
  </w:style>
  <w:style w:type="character" w:customStyle="1" w:styleId="mn">
    <w:name w:val="mn"/>
    <w:basedOn w:val="a0"/>
    <w:rsid w:val="0048592D"/>
  </w:style>
  <w:style w:type="character" w:styleId="a3">
    <w:name w:val="Strong"/>
    <w:basedOn w:val="a0"/>
    <w:uiPriority w:val="22"/>
    <w:qFormat/>
    <w:rsid w:val="0048592D"/>
    <w:rPr>
      <w:b/>
      <w:bCs/>
    </w:rPr>
  </w:style>
  <w:style w:type="character" w:customStyle="1" w:styleId="mo">
    <w:name w:val="mo"/>
    <w:basedOn w:val="a0"/>
    <w:rsid w:val="0048592D"/>
  </w:style>
  <w:style w:type="paragraph" w:styleId="a4">
    <w:name w:val="Balloon Text"/>
    <w:basedOn w:val="a"/>
    <w:link w:val="a5"/>
    <w:uiPriority w:val="99"/>
    <w:semiHidden/>
    <w:unhideWhenUsed/>
    <w:rsid w:val="0048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video-166304890_456239329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AWJJH2MPE6E2-79957301-2238</_dlc_DocId>
    <_dlc_DocIdUrl xmlns="4a252ca3-5a62-4c1c-90a6-29f4710e47f8">
      <Url>http://edu-sps.koiro.local/NSI/_layouts/15/DocIdRedir.aspx?ID=AWJJH2MPE6E2-79957301-2238</Url>
      <Description>AWJJH2MPE6E2-79957301-2238</Description>
    </_dlc_DocIdUrl>
  </documentManagement>
</p:properties>
</file>

<file path=customXml/itemProps1.xml><?xml version="1.0" encoding="utf-8"?>
<ds:datastoreItem xmlns:ds="http://schemas.openxmlformats.org/officeDocument/2006/customXml" ds:itemID="{B6489896-F2EF-4553-8145-1963D57BC8AC}"/>
</file>

<file path=customXml/itemProps2.xml><?xml version="1.0" encoding="utf-8"?>
<ds:datastoreItem xmlns:ds="http://schemas.openxmlformats.org/officeDocument/2006/customXml" ds:itemID="{58291A1D-737D-44E0-ABAA-A9517C60F373}"/>
</file>

<file path=customXml/itemProps3.xml><?xml version="1.0" encoding="utf-8"?>
<ds:datastoreItem xmlns:ds="http://schemas.openxmlformats.org/officeDocument/2006/customXml" ds:itemID="{C49E6857-C3BF-40A0-9021-D236F8345E76}"/>
</file>

<file path=customXml/itemProps4.xml><?xml version="1.0" encoding="utf-8"?>
<ds:datastoreItem xmlns:ds="http://schemas.openxmlformats.org/officeDocument/2006/customXml" ds:itemID="{E76A2006-545F-4B6B-B43C-9EFDCF7EC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3302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2020-05-23T19:54:00Z</dcterms:created>
  <dcterms:modified xsi:type="dcterms:W3CDTF">2020-05-23T19:54:00Z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eee5f30c-5747-4647-977b-aafc68fc73a8</vt:lpwstr>
  </property>
</Properties>
</file>