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916" w:rsidRPr="005A3916" w:rsidRDefault="005A3916" w:rsidP="00BE4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39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ДИДАКТИЧЕСКИЕ ИГРЫ НА УРОКАХ МАТЕМАТИКИ</w:t>
      </w:r>
    </w:p>
    <w:p w:rsidR="00AC7C8A" w:rsidRDefault="005A3916" w:rsidP="00BE4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 – творчество, игра – труд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процессе игры у детей вырабат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вается привычка сосредоточиваться, мыслить самостоятельно, развивается внимание, стремление к знаниям. </w:t>
      </w:r>
      <w:proofErr w:type="gramStart"/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Увлёкшись, дети не замечают, что учатся: познают, запоминают новое, ориентируются в необычных ситуациях, попо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няют запас представлений, понятий, развивают фантазию.</w:t>
      </w:r>
      <w:proofErr w:type="gramEnd"/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 самые па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сивные из детей включаются в игру с огромным желанием, прилагая все ус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лия, чтобы не подвести товарищей по игре.</w:t>
      </w:r>
    </w:p>
    <w:p w:rsidR="00AC7C8A" w:rsidRDefault="005A3916" w:rsidP="00BE4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 урок дидактических игр и игровых моментов делает пр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цесс обучения интересным и занимательным, создаёт у детей бодрое рабочее настроение, облегчает преодоление трудностей в усвоении учебного мат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риала. Разнообразные игровые действия, при помощи которых решается та или иная умственная задача, поддерживают и усиливают интерес детей к учебному предмету.</w:t>
      </w:r>
    </w:p>
    <w:p w:rsidR="00AC7C8A" w:rsidRDefault="005A3916" w:rsidP="00BE4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Дидактическая игра 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 самоцель на уроке, а средство обучения и воспитания. Игру не нужно путать с забавой, не следует рассматривать её как деятельность, доставляющую удовольствие ради удовольствия. На дидакт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ческую игру нужно смотреть как на вид преобразующей творческой деятел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в тесной связи с другими видами учебной работы.</w:t>
      </w:r>
    </w:p>
    <w:p w:rsidR="00AC7C8A" w:rsidRDefault="005A3916" w:rsidP="00BE4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отличие от игр вообще дидактическая игра обладает существенным признаком – наличием чётко поставленной цели обучения и соответству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 ей педагогического результата, которые могут быть обоснованы, выд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лены в явном виде и характеризуются учебно-познавательной направленн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стью.</w:t>
      </w:r>
      <w:r w:rsidR="00AC7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 дидактических игр заключается в том, что в процессе игры дети в значительной мере самостоятельно приобретают новые знания, акти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помогают друг другу в этом.</w:t>
      </w:r>
    </w:p>
    <w:p w:rsidR="00AC7C8A" w:rsidRDefault="005A3916" w:rsidP="00BE4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Математическая сторона содержания игры всегда должна отчётливо выдвигаться на первый план. Только тогда игра будет выполнять свою роль в математическом развитии детей и воспитании интереса их к математике.</w:t>
      </w:r>
    </w:p>
    <w:p w:rsidR="00AC7C8A" w:rsidRDefault="005A3916" w:rsidP="00BE4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Целесообразность использования дидактических игр на различных эт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 урока различна. Например, при усвоении новых знаний возможности д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дактических игр значительно уступают более традиционным формам обуч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 Поэтому игровые формы занятий чаще применяют при проверке резул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татов обучения, выработке навыков, формировании умений.</w:t>
      </w:r>
    </w:p>
    <w:p w:rsidR="00AC7C8A" w:rsidRDefault="005A3916" w:rsidP="00BE4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дидактические игры как будто не вносят ничего нового в зн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школьников, но они приносят большую пользу тем, что учат учащихся применять знания в новых условиях или ставят умственную задачу, решение которой требует проявления разнообразных форм умственной деятельности. Во время игры активизируются разнообразные умственные процессы, поэт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дидактическая игра является средством умственного развития. Чтобы п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нять замысел, усвоить игровые действия и правила, нужно активно высл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шать и осмыслить объяснение учителя. Решения задач, поставленных игр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ми, требуют сосредоточенного внимания, активной мыслительной деятел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ности, выполнения сравнения и обобщения.</w:t>
      </w:r>
    </w:p>
    <w:p w:rsidR="005A3916" w:rsidRPr="005A3916" w:rsidRDefault="005A3916" w:rsidP="00BE4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Приведу примеры дидактических игр, которые я использую на своих уроках.</w:t>
      </w:r>
    </w:p>
    <w:p w:rsidR="005A3916" w:rsidRPr="005A3916" w:rsidRDefault="005A3916" w:rsidP="00BE4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Викторина</w:t>
      </w:r>
    </w:p>
    <w:p w:rsidR="00AC7C8A" w:rsidRDefault="005A3916" w:rsidP="00BE4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Викторина – это игра, во время которой учащиеся отвечают на вопр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сы. Выигрывает тот, кто дает больше правильных ответов. При отработке н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выков устных вычислений, викторина проводится в начале урока, при пр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верке знаний и умений учащихся – в конце урока. Викторина способствует активизации умственной деятельности школьников на уроке.</w:t>
      </w:r>
    </w:p>
    <w:p w:rsidR="00AC7C8A" w:rsidRDefault="005A3916" w:rsidP="00BE4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делится на три команды по числу рядов. Баллы, заработанные во время викторины, записываются на доске.</w:t>
      </w:r>
    </w:p>
    <w:p w:rsidR="005A3916" w:rsidRPr="005A3916" w:rsidRDefault="005A3916" w:rsidP="00BE4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«Стоимость каждого вопроса» может быть различна (Но это не обяз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тельно), ее заранее я сообщаю ученикам.</w:t>
      </w:r>
    </w:p>
    <w:p w:rsidR="005A3916" w:rsidRPr="005A3916" w:rsidRDefault="005A3916" w:rsidP="00BE4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Математический турнир</w:t>
      </w:r>
    </w:p>
    <w:p w:rsidR="00AC7C8A" w:rsidRDefault="005A3916" w:rsidP="00BE4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Математический турнир можно проводить по–разному. Если его пр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водить в неурочное время, то он требует тщательной </w:t>
      </w:r>
      <w:proofErr w:type="gramStart"/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</w:t>
      </w:r>
      <w:proofErr w:type="gramEnd"/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учен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ков, так и учителя. Время проведения должно быть определено заранее, уч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 получают определенное задание еще до начала турнира; учителю нео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ходимо продумать до мелочей все задания турнира</w:t>
      </w:r>
      <w:proofErr w:type="gramStart"/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игры, которые будут на нём разыгрываться.</w:t>
      </w:r>
    </w:p>
    <w:p w:rsidR="00AC7C8A" w:rsidRDefault="005A3916" w:rsidP="00BE4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опишу математические турниры, которые обычно провожу на уроках в 5-7 классах. Турнир проводится в конце урока, когда ученики немного у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тали. Класс делится на две команды. Каждая команда получает задание: 2-3 задачи или 5-6 примеров. Члены команды могут консультироваться друг с другом. Через 8-10 минут начинаем турнир. Капитаны команд вызывают по одному участнику команды соперников. Эти два ученика обмениваются з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даниями, идут к доске и начинают решение, затем вызывается другая пара учеников и так далее. Побеждает та команда, которая правильно решит и объяснит наибольшее количество заданий другой команды. За ответами сл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дят все учащиеся. Я выступаю в роли арбитра. Участникам турнира выста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ляются оценки в журнал, подводятся итоги.</w:t>
      </w:r>
    </w:p>
    <w:p w:rsidR="00AC7C8A" w:rsidRDefault="005A3916" w:rsidP="00BE4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на такие турниры я отвожу 15-20 минут.</w:t>
      </w:r>
    </w:p>
    <w:p w:rsidR="005A3916" w:rsidRPr="005A3916" w:rsidRDefault="005A3916" w:rsidP="00BE4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заданий определяется многими факторами: целью турнира, наличием времени, содержанием заданий, составом играющих. Очевидно о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но: если бы эти задания были предложены просто в виде самостоятельной работы в конце урока, то вряд ли бы все ученики решили предложенные им 5 примеров и прослушали бы внимательно решение ещё пяти аналогичных.</w:t>
      </w:r>
    </w:p>
    <w:p w:rsidR="005A3916" w:rsidRPr="005A3916" w:rsidRDefault="005A3916" w:rsidP="00BE4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</w:t>
      </w:r>
    </w:p>
    <w:p w:rsidR="00AC7C8A" w:rsidRDefault="005A3916" w:rsidP="00BE4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ряд получает таблицу с</w:t>
      </w:r>
      <w:r w:rsidRPr="00AC7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«форточками». Таблицу кладут на о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парту, и по команде ученик заполняет первую пустую клетку. Закрыв пе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вую «форточку», он передаёт таблицу своему соседу и т.д. Последний ученик в ряду бежит к моему столу. За быстрое решение дополнительно даётся один балл. При проверке я учитываю правильность заполнения таблицы. Обычно за каждую правильно заполненную клетку – один балл. При подведении ит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 учитывается поведение всего ряда во время эстафеты.</w:t>
      </w:r>
    </w:p>
    <w:p w:rsidR="005A3916" w:rsidRPr="005A3916" w:rsidRDefault="005A3916" w:rsidP="00BE4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Такой вид опроса я использую при проверке умений пользоваться фо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мулами, решать несложные задачи. (</w:t>
      </w:r>
      <w:hyperlink r:id="rId7" w:history="1">
        <w:r w:rsidRPr="00AC7C8A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u w:val="single"/>
            <w:lang w:eastAsia="ru-RU"/>
          </w:rPr>
          <w:t>Приложение 1</w:t>
        </w:r>
      </w:hyperlink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A3916" w:rsidRPr="005A3916" w:rsidRDefault="005A3916" w:rsidP="00BE4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Аукцион</w:t>
      </w:r>
    </w:p>
    <w:p w:rsidR="00AC7C8A" w:rsidRDefault="005A3916" w:rsidP="00BE4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 можно проводить разными способами. Вот один из них.</w:t>
      </w:r>
    </w:p>
    <w:p w:rsidR="00AC7C8A" w:rsidRDefault="005A3916" w:rsidP="00BE4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изучения очередной темы я объявляю, что сейчас проведём игру по типу чайнворда. Задание состоит в том, чтобы составить цепочку геоме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рических (алгебраических) терминов по такому принципу: каждый следу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щий термин начинается с той буквы, какой оканчивается предыдущий. Буква «</w:t>
      </w:r>
      <w:proofErr w:type="spellStart"/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proofErr w:type="spellEnd"/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во внимание не берётся. Основное условие: принимаются только те те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мины, которые имеют прямое отношение к изученному материалу. Если на одну букву будет предложено несколько терминов, то в чайнворд записыв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тот термин, который назвали последним. Если на последнюю букву н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званного термина не находится предложений, то берется предыдущая буква в этом слове и т.д.</w:t>
      </w:r>
    </w:p>
    <w:p w:rsidR="00AC7C8A" w:rsidRDefault="005A3916" w:rsidP="00BE4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Соревнование заканчивается, когда на доске записано цепочка терм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 и следующих предложений нет. В процессе записи терминов над каждым из них ставят номер соответствующей команды. Побеждает та команда, у к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торой набралось наибольшее число терминов.</w:t>
      </w:r>
    </w:p>
    <w:p w:rsidR="00AC7C8A" w:rsidRDefault="005A3916" w:rsidP="00BE4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изучения темы «Четырехугольники» в 8 классе я выставляю на аукцион параллелограмм, трапецию, прямоугольник, ромб, квадрат. Задача команд: «купить» фигуру, указав какое-нибудь ее свойство. Фигура достается той команде, которая сообщила последней ее свойство. Затем выставляется другая фигура…</w:t>
      </w:r>
    </w:p>
    <w:p w:rsidR="005A3916" w:rsidRPr="005A3916" w:rsidRDefault="005A3916" w:rsidP="00BE4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Побеждает команда «купившая» наибольшее число фигур.</w:t>
      </w:r>
    </w:p>
    <w:p w:rsidR="005A3916" w:rsidRPr="005A3916" w:rsidRDefault="005A3916" w:rsidP="00BE4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Молчанка</w:t>
      </w:r>
    </w:p>
    <w:p w:rsidR="00AC7C8A" w:rsidRDefault="005A3916" w:rsidP="00BE4E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5 и 6 классах очень помогают мне в работе сигнальные карточки. Они дисциплинируют детей и позволяют получить информацию об усвоении материала. Обычно красная карточка соответствует утверждению «нет», а зеленая – «да». Но значение карточек можно в любой момент заменить. С помощью сигнальных карточек можно провести </w:t>
      </w:r>
      <w:proofErr w:type="gramStart"/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много</w:t>
      </w:r>
      <w:proofErr w:type="gramEnd"/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устных упра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нений.</w:t>
      </w:r>
      <w:r w:rsidR="00BE4E59"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понравился мне вариант игры «</w:t>
      </w:r>
      <w:proofErr w:type="spellStart"/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Да-нет</w:t>
      </w:r>
      <w:proofErr w:type="spellEnd"/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описанный Т.Павленко в статье «Графические диктанты и устные контрольные работы.5-6классы» в газете «Математика» №18-20,2001 г. Ребята с увлечением пишут графич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ские диктанты.</w:t>
      </w:r>
    </w:p>
    <w:p w:rsidR="00AC7C8A" w:rsidRDefault="005A3916" w:rsidP="00BE4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«Да» изображается отрезком, а «нет» - уголком. В результате ответов на вопросы получается «график», по которому легко определить, </w:t>
      </w:r>
      <w:proofErr w:type="gramStart"/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</w:t>
      </w:r>
      <w:proofErr w:type="gramEnd"/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тил ученик или нет.</w:t>
      </w:r>
    </w:p>
    <w:p w:rsidR="00AC7C8A" w:rsidRDefault="005A3916" w:rsidP="00BE4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сдачи работ вопросы обсуждаются. Ученики сразу видят резул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 своего труда.</w:t>
      </w:r>
    </w:p>
    <w:p w:rsidR="005A3916" w:rsidRPr="005A3916" w:rsidRDefault="005A3916" w:rsidP="00BE4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Диктанты позволяют проверить способность учащихся рассуждать, л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гически мыслить, делать правильные выводы. (</w:t>
      </w:r>
      <w:hyperlink r:id="rId8" w:history="1">
        <w:r w:rsidRPr="00AC7C8A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u w:val="single"/>
            <w:lang w:eastAsia="ru-RU"/>
          </w:rPr>
          <w:t>Приложение 2</w:t>
        </w:r>
      </w:hyperlink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A3916" w:rsidRPr="005A3916" w:rsidRDefault="005A3916" w:rsidP="00BE4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быстрее</w:t>
      </w:r>
    </w:p>
    <w:p w:rsidR="00AC7C8A" w:rsidRDefault="005A3916" w:rsidP="00BE4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– наиболее часто применяемая мною игра. Обычно ее я использую при устном счёте, при проведении самостоятельных работ, иногда раздаю карточки для отдельных ребят.</w:t>
      </w:r>
    </w:p>
    <w:p w:rsidR="00AC7C8A" w:rsidRDefault="005A3916" w:rsidP="00BE4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Внешнее оформление работ может быть различным, задание – тоже, но главная задача учащихся – выполнить его как можно быстрее.</w:t>
      </w:r>
    </w:p>
    <w:p w:rsidR="00AC7C8A" w:rsidRDefault="005A3916" w:rsidP="00BE4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нужно отработать какой-нибудь алгоритм решения, я так же и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пользую эту игру. Задания при этом вроде ничем не отличаются от многих заданий из учебника, но ребята более активно включаются в работу, «рвутся» к доске, стараются выполнить его как можно быстрее и правильнее.</w:t>
      </w:r>
    </w:p>
    <w:p w:rsidR="005A3916" w:rsidRPr="005A3916" w:rsidRDefault="005A3916" w:rsidP="00BE4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игру я использую в 5,6 классах. (</w:t>
      </w:r>
      <w:hyperlink r:id="rId9" w:history="1">
        <w:r w:rsidRPr="00AC7C8A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u w:val="single"/>
            <w:lang w:eastAsia="ru-RU"/>
          </w:rPr>
          <w:t>Приложение 3</w:t>
        </w:r>
      </w:hyperlink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A3916" w:rsidRPr="005A3916" w:rsidRDefault="005A3916" w:rsidP="00BE4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Деловые игры</w:t>
      </w:r>
    </w:p>
    <w:p w:rsidR="00AC7C8A" w:rsidRDefault="005A3916" w:rsidP="00BE4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Деловая игра представляет собой последовательность учебных дейс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вий в процессе решения поставленной задачи. Это – модель взаимодействия людей в процессе достижения экономических, производственных или пол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тических целей.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Деловая игра позволяет создавать такие ситуации, в ходе которых играющ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необходимо найти правильную линию поведения, оптимальное решение проблемы.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процессе игры вырабатывается умение мыслить системно, продуктивно, пробуждается стремление к поиску новых идей. Таким образом, дело не св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дится лишь к механическому использованию программного материала, реб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подходят к проблеме творчески.</w:t>
      </w:r>
    </w:p>
    <w:p w:rsidR="005A3916" w:rsidRPr="005A3916" w:rsidRDefault="005A3916" w:rsidP="00BE4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отличие от соревнований деловые игры, в большинстве случаев, з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нимают весь урок. Этапы этого урока:</w:t>
      </w:r>
    </w:p>
    <w:p w:rsidR="005A3916" w:rsidRPr="005A3916" w:rsidRDefault="005A3916" w:rsidP="00BE4E59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профессией;</w:t>
      </w:r>
    </w:p>
    <w:p w:rsidR="005A3916" w:rsidRPr="005A3916" w:rsidRDefault="005A3916" w:rsidP="00BE4E59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главной задачи бригадам, выяснение их роли в производстве;</w:t>
      </w:r>
    </w:p>
    <w:p w:rsidR="005A3916" w:rsidRPr="005A3916" w:rsidRDefault="005A3916" w:rsidP="00BE4E59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игровой проблемной ситуации;</w:t>
      </w:r>
    </w:p>
    <w:p w:rsidR="005A3916" w:rsidRPr="005A3916" w:rsidRDefault="005A3916" w:rsidP="00BE4E59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необходимым теоретическим материалом;</w:t>
      </w:r>
    </w:p>
    <w:p w:rsidR="005A3916" w:rsidRPr="005A3916" w:rsidRDefault="005A3916" w:rsidP="00BE4E59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производственной задачи;</w:t>
      </w:r>
    </w:p>
    <w:p w:rsidR="005A3916" w:rsidRPr="005A3916" w:rsidRDefault="005A3916" w:rsidP="00BE4E59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результатов;</w:t>
      </w:r>
    </w:p>
    <w:p w:rsidR="005A3916" w:rsidRPr="005A3916" w:rsidRDefault="005A3916" w:rsidP="00BE4E59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итогов работы, оценка результатов.</w:t>
      </w:r>
    </w:p>
    <w:p w:rsidR="005A3916" w:rsidRPr="005A3916" w:rsidRDefault="005A3916" w:rsidP="00BE4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идея деловых игр состоит в том, чтобы создать производс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венную ситуацию, в которой учащиеся, поставив себя на место человека той или иной специальности, могут увидеть и оценить значение математики в производстве, самостоятельно овладеть необходимым теоретическим мат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риалом, применить полученные знания на практике. (</w:t>
      </w:r>
      <w:hyperlink r:id="rId10" w:history="1">
        <w:r w:rsidRPr="00AC7C8A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u w:val="single"/>
            <w:lang w:eastAsia="ru-RU"/>
          </w:rPr>
          <w:t>Приложение 4</w:t>
        </w:r>
      </w:hyperlink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A3916" w:rsidRPr="00BE4E59" w:rsidRDefault="005A3916" w:rsidP="00BE4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4E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УРОКИ ФАНТАЗИИ</w:t>
      </w:r>
    </w:p>
    <w:p w:rsidR="00AC7C8A" w:rsidRDefault="005A3916" w:rsidP="00BE4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Уроки-сказки я обычно провожу после изучения темы для отработки навыков решения, для закрепления изучаемого материала. Игра проводится на основе сказки. Класс разбивается на 2-3 команды. Начинаю рассказ, ста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 проблему, учащиеся, применяя необходимые знания, решают ее.</w:t>
      </w:r>
    </w:p>
    <w:p w:rsidR="005A3916" w:rsidRPr="005A3916" w:rsidRDefault="005A3916" w:rsidP="00BE4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Учитывается скорость и правильность решения. В конце урока подв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дятся итоги всей игры. Устанавливается команда – победитель, часть учен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 получает оценки. Такую форму урока я чаще всего использую в 5 классе. Но иногда она приемлема и в </w:t>
      </w:r>
      <w:proofErr w:type="gramStart"/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старших</w:t>
      </w:r>
      <w:proofErr w:type="gramEnd"/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классах. (</w:t>
      </w:r>
      <w:hyperlink r:id="rId11" w:history="1">
        <w:r w:rsidRPr="00AC7C8A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u w:val="single"/>
            <w:lang w:eastAsia="ru-RU"/>
          </w:rPr>
          <w:t>Приложение 5</w:t>
        </w:r>
      </w:hyperlink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E4E59" w:rsidRDefault="00BE4E59" w:rsidP="00BE4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4E59" w:rsidRDefault="00BE4E59" w:rsidP="00BE4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3916" w:rsidRPr="00BE4E59" w:rsidRDefault="005A3916" w:rsidP="00BE4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4E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3. УРОКИ-ПУТЕШЕСТВИЯ</w:t>
      </w:r>
    </w:p>
    <w:p w:rsidR="00AC7C8A" w:rsidRDefault="005A3916" w:rsidP="00BE4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E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Урок-путешествие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одна из наиболее часто используемых мною форм проведения уроков в 5-7 классах. Как и все дидактические игры, «п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тешествие» проводится после изучения темы, для отработки умений и нав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ков, закрепления и обобщения изученного материала.</w:t>
      </w:r>
    </w:p>
    <w:p w:rsidR="005A3916" w:rsidRPr="005A3916" w:rsidRDefault="005A3916" w:rsidP="00BE4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 делится на несколько групп. </w:t>
      </w:r>
      <w:proofErr w:type="gramStart"/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«путешествуем» по «остано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кам» или «станциям», на каждой из которых команды получают задание, а иногда – оценки.</w:t>
      </w:r>
      <w:proofErr w:type="gramEnd"/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группах выделяются мои помощники, которые заполняют специальные ведомости. В конце «путешествия», учитывая записи в ведом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стях, оценивается каждый ученик.</w:t>
      </w:r>
    </w:p>
    <w:p w:rsidR="005A3916" w:rsidRPr="00BE4E59" w:rsidRDefault="005A3916" w:rsidP="00BE4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4E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УРОКИ ОБЩЕНИЯ</w:t>
      </w:r>
    </w:p>
    <w:p w:rsidR="005A3916" w:rsidRPr="005A3916" w:rsidRDefault="005A3916" w:rsidP="00BE4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Устный журнал</w:t>
      </w:r>
    </w:p>
    <w:p w:rsidR="005A3916" w:rsidRPr="005A3916" w:rsidRDefault="005A3916" w:rsidP="00BE4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Устный журнал не требует соревнования. Важно само участие в выпу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 журнала. Я стараюсь дать слово как можно большему числу учеников. Учащиеся заранее читают математическую литературу, находят в ней инт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ресные факты, которые излагают за 1-2 минуты. Ведущие готовят ряд коро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 рассказов об истории математики из тех разделов, которые не издаются в школе, но доступны учащимся. Цель ведущих – изложить свои заготовки, у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лечь беседой учащихся. Они говорят таинственно, весело, обыгрывают с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общаемый факт, как эстрадную миниатюру.</w:t>
      </w:r>
    </w:p>
    <w:p w:rsidR="005A3916" w:rsidRPr="005A3916" w:rsidRDefault="005A3916" w:rsidP="00BE4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Диалог</w:t>
      </w:r>
    </w:p>
    <w:p w:rsidR="005A3916" w:rsidRPr="005A3916" w:rsidRDefault="005A3916" w:rsidP="00BE4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направлена на повышение активности учащихся в процессе у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воения новых знаний. Я формулирую учебную проблему, а учащиеся должны решить ее. Они понимают, что для решения проблемы недостаточно име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знаний. Каждая команда имеет право задать мне минимальное число вопросов с тем, чтобы извлечь из моих ответов максимум информации. В и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 я </w:t>
      </w:r>
      <w:proofErr w:type="gramStart"/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 не желаю</w:t>
      </w:r>
      <w:proofErr w:type="gramEnd"/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выдавать информацию, а ученики поставленными в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просами принуждают меня к этому. И если в диалоге при минимальном к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A3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личестве вопросов у какого-нибудь ученика наступает озарение, то я считаю, что свою задачу по развитию творческого мышления учащихся я выполнила.</w:t>
      </w:r>
    </w:p>
    <w:p w:rsidR="00FF6774" w:rsidRPr="00FF6774" w:rsidRDefault="00FF6774" w:rsidP="00BE4E5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F677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Математические ребусы</w:t>
      </w:r>
    </w:p>
    <w:p w:rsidR="00FF6774" w:rsidRPr="00FF6774" w:rsidRDefault="00FF6774" w:rsidP="00BE4E5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381125" cy="590550"/>
            <wp:effectExtent l="19050" t="0" r="9525" b="0"/>
            <wp:docPr id="1" name="Рисунок 1" descr="Ребус пер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ус первый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774" w:rsidRPr="00FF6774" w:rsidRDefault="00FF6774" w:rsidP="00BE4E5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F677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152525" cy="590550"/>
            <wp:effectExtent l="19050" t="0" r="9525" b="0"/>
            <wp:docPr id="2" name="Рисунок 2" descr="Ребус втор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бус второй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774" w:rsidRPr="00FF6774" w:rsidRDefault="00FF6774" w:rsidP="00BE4E5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F677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076325" cy="590550"/>
            <wp:effectExtent l="19050" t="0" r="9525" b="0"/>
            <wp:docPr id="3" name="Рисунок 3" descr="Ребус трет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бус третий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774" w:rsidRPr="00FF6774" w:rsidRDefault="00FF6774" w:rsidP="00BE4E5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F677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600200" cy="742950"/>
            <wp:effectExtent l="19050" t="0" r="0" b="0"/>
            <wp:docPr id="4" name="Рисунок 4" descr="Ребус четверт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бус четвертый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774" w:rsidRPr="00FF6774" w:rsidRDefault="00FF6774" w:rsidP="00BE4E5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F677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3143250" cy="609600"/>
            <wp:effectExtent l="19050" t="0" r="0" b="0"/>
            <wp:docPr id="5" name="Рисунок 5" descr="Ребус пят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бус пятый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774" w:rsidRPr="00FF6774" w:rsidRDefault="00FF6774" w:rsidP="00BE4E5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F677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3143250" cy="438150"/>
            <wp:effectExtent l="19050" t="0" r="0" b="0"/>
            <wp:docPr id="6" name="Рисунок 6" descr="Ребус ше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ебус шестой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774" w:rsidRPr="00FF6774" w:rsidRDefault="00FF6774" w:rsidP="00BE4E5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F677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3143250" cy="523875"/>
            <wp:effectExtent l="19050" t="0" r="0" b="0"/>
            <wp:docPr id="7" name="Рисунок 7" descr="Ребус седьм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бус седьмой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774" w:rsidRPr="00FF6774" w:rsidRDefault="00FF6774" w:rsidP="00BE4E5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FF677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885950" cy="590550"/>
            <wp:effectExtent l="19050" t="0" r="0" b="0"/>
            <wp:docPr id="8" name="Рисунок 8" descr="Ребус восьм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ебус восьмой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774" w:rsidRPr="00FF6774" w:rsidRDefault="00FF6774" w:rsidP="00BE4E5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F67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Ответы на математические ребусы</w:t>
      </w:r>
    </w:p>
    <w:p w:rsidR="00FF6774" w:rsidRPr="00FF6774" w:rsidRDefault="00FF6774" w:rsidP="00BE4E59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7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</w:t>
      </w:r>
    </w:p>
    <w:p w:rsidR="00FF6774" w:rsidRPr="00FF6774" w:rsidRDefault="00FF6774" w:rsidP="00BE4E59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Наклонная</w:t>
      </w:r>
    </w:p>
    <w:p w:rsidR="00FF6774" w:rsidRPr="00FF6774" w:rsidRDefault="00FF6774" w:rsidP="00BE4E59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7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Подобие</w:t>
      </w:r>
    </w:p>
    <w:p w:rsidR="00FF6774" w:rsidRPr="00FF6774" w:rsidRDefault="00FF6774" w:rsidP="00BE4E59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7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Стереометрия</w:t>
      </w:r>
    </w:p>
    <w:p w:rsidR="00FF6774" w:rsidRPr="00FF6774" w:rsidRDefault="00FF6774" w:rsidP="00BE4E59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7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Теорема Пифагора</w:t>
      </w:r>
    </w:p>
    <w:p w:rsidR="00FF6774" w:rsidRPr="00FF6774" w:rsidRDefault="00FF6774" w:rsidP="00BE4E59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7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Теорема</w:t>
      </w:r>
    </w:p>
    <w:p w:rsidR="00FF6774" w:rsidRPr="00FF6774" w:rsidRDefault="00FF6774" w:rsidP="00BE4E59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7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Отрезок</w:t>
      </w:r>
    </w:p>
    <w:p w:rsidR="00FF6774" w:rsidRPr="00FF6774" w:rsidRDefault="00FF6774" w:rsidP="00BE4E59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7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</w:t>
      </w:r>
    </w:p>
    <w:p w:rsidR="0067156E" w:rsidRPr="00FF6774" w:rsidRDefault="0067156E" w:rsidP="00BE4E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7156E" w:rsidRPr="00FF6774" w:rsidSect="00BE4E59">
      <w:footerReference w:type="default" r:id="rId2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0A1" w:rsidRDefault="005430A1" w:rsidP="00BE4E59">
      <w:pPr>
        <w:spacing w:after="0" w:line="240" w:lineRule="auto"/>
      </w:pPr>
      <w:r>
        <w:separator/>
      </w:r>
    </w:p>
  </w:endnote>
  <w:endnote w:type="continuationSeparator" w:id="1">
    <w:p w:rsidR="005430A1" w:rsidRDefault="005430A1" w:rsidP="00BE4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6606"/>
    </w:sdtPr>
    <w:sdtContent>
      <w:p w:rsidR="00BE4E59" w:rsidRDefault="00682107">
        <w:pPr>
          <w:pStyle w:val="ab"/>
          <w:jc w:val="right"/>
        </w:pPr>
        <w:fldSimple w:instr=" PAGE   \* MERGEFORMAT ">
          <w:r w:rsidR="0062093B">
            <w:rPr>
              <w:noProof/>
            </w:rPr>
            <w:t>3</w:t>
          </w:r>
        </w:fldSimple>
      </w:p>
    </w:sdtContent>
  </w:sdt>
  <w:p w:rsidR="00BE4E59" w:rsidRDefault="00BE4E5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0A1" w:rsidRDefault="005430A1" w:rsidP="00BE4E59">
      <w:pPr>
        <w:spacing w:after="0" w:line="240" w:lineRule="auto"/>
      </w:pPr>
      <w:r>
        <w:separator/>
      </w:r>
    </w:p>
  </w:footnote>
  <w:footnote w:type="continuationSeparator" w:id="1">
    <w:p w:rsidR="005430A1" w:rsidRDefault="005430A1" w:rsidP="00BE4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B50C3"/>
    <w:multiLevelType w:val="multilevel"/>
    <w:tmpl w:val="2DFE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602F53"/>
    <w:multiLevelType w:val="multilevel"/>
    <w:tmpl w:val="883AB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615C6C"/>
    <w:multiLevelType w:val="multilevel"/>
    <w:tmpl w:val="DD2A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4A7775"/>
    <w:multiLevelType w:val="multilevel"/>
    <w:tmpl w:val="1E74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B106F9"/>
    <w:multiLevelType w:val="multilevel"/>
    <w:tmpl w:val="8342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3916"/>
    <w:rsid w:val="005430A1"/>
    <w:rsid w:val="005A3916"/>
    <w:rsid w:val="0062093B"/>
    <w:rsid w:val="0067156E"/>
    <w:rsid w:val="00682107"/>
    <w:rsid w:val="00960151"/>
    <w:rsid w:val="00AC7C8A"/>
    <w:rsid w:val="00BE4E59"/>
    <w:rsid w:val="00C47560"/>
    <w:rsid w:val="00FF6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56E"/>
  </w:style>
  <w:style w:type="paragraph" w:styleId="1">
    <w:name w:val="heading 1"/>
    <w:basedOn w:val="a"/>
    <w:link w:val="10"/>
    <w:uiPriority w:val="9"/>
    <w:qFormat/>
    <w:rsid w:val="005A39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5A391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9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A391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5A3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3916"/>
    <w:rPr>
      <w:color w:val="0000FF"/>
      <w:u w:val="single"/>
    </w:rPr>
  </w:style>
  <w:style w:type="character" w:customStyle="1" w:styleId="apple-converted-space">
    <w:name w:val="apple-converted-space"/>
    <w:basedOn w:val="a0"/>
    <w:rsid w:val="005A3916"/>
  </w:style>
  <w:style w:type="character" w:styleId="a5">
    <w:name w:val="Emphasis"/>
    <w:basedOn w:val="a0"/>
    <w:uiPriority w:val="20"/>
    <w:qFormat/>
    <w:rsid w:val="005A3916"/>
    <w:rPr>
      <w:i/>
      <w:iCs/>
    </w:rPr>
  </w:style>
  <w:style w:type="character" w:styleId="a6">
    <w:name w:val="Strong"/>
    <w:basedOn w:val="a0"/>
    <w:uiPriority w:val="22"/>
    <w:qFormat/>
    <w:rsid w:val="005A391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F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77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BE4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E4E59"/>
  </w:style>
  <w:style w:type="paragraph" w:styleId="ab">
    <w:name w:val="footer"/>
    <w:basedOn w:val="a"/>
    <w:link w:val="ac"/>
    <w:uiPriority w:val="99"/>
    <w:unhideWhenUsed/>
    <w:rsid w:val="00BE4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4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6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80914/pril2.doc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customXml" Target="../customXml/item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festival.1september.ru/articles/580914/pril1.doc" TargetMode="Externa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estival.1september.ru/articles/580914/pril5.doc" TargetMode="External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customXml" Target="../customXml/item1.xml"/><Relationship Id="rId10" Type="http://schemas.openxmlformats.org/officeDocument/2006/relationships/hyperlink" Target="http://festival.1september.ru/articles/580914/pril4.doc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80914/pril3.doc" TargetMode="Externa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22887190B8F814D8FDB822D6A24B69C" ma:contentTypeVersion="1" ma:contentTypeDescription="Создание документа." ma:contentTypeScope="" ma:versionID="912abb02db8c33153d0b8f0f8248586b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S4PQ372FCS27-1695138003-574</_dlc_DocId>
    <_dlc_DocIdUrl xmlns="790c5408-51d9-4e10-9bd8-8c8141be4f06">
      <Url>http://edu-sps.koiro.local/Mega/rodinskaj/_layouts/15/DocIdRedir.aspx?ID=S4PQ372FCS27-1695138003-574</Url>
      <Description>S4PQ372FCS27-1695138003-574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4F0579D-211F-4AF8-9D98-A2A77A451827}"/>
</file>

<file path=customXml/itemProps2.xml><?xml version="1.0" encoding="utf-8"?>
<ds:datastoreItem xmlns:ds="http://schemas.openxmlformats.org/officeDocument/2006/customXml" ds:itemID="{7426B747-F9AB-4144-863E-591E73AB23D4}"/>
</file>

<file path=customXml/itemProps3.xml><?xml version="1.0" encoding="utf-8"?>
<ds:datastoreItem xmlns:ds="http://schemas.openxmlformats.org/officeDocument/2006/customXml" ds:itemID="{719AE723-F4F8-458E-80D9-FA9F5783A598}"/>
</file>

<file path=customXml/itemProps4.xml><?xml version="1.0" encoding="utf-8"?>
<ds:datastoreItem xmlns:ds="http://schemas.openxmlformats.org/officeDocument/2006/customXml" ds:itemID="{57F75793-8330-456C-BFEB-D7DC9AF9A2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1893</Words>
  <Characters>10794</Characters>
  <Application>Microsoft Office Word</Application>
  <DocSecurity>4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2</cp:revision>
  <cp:lastPrinted>2012-04-01T16:28:00Z</cp:lastPrinted>
  <dcterms:created xsi:type="dcterms:W3CDTF">2020-05-28T10:22:00Z</dcterms:created>
  <dcterms:modified xsi:type="dcterms:W3CDTF">2020-05-28T10:22:00Z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0x010100D22887190B8F814D8FDB822D6A24B69C</vt:lpwstr>
  </property>
  <property fmtid="{D5CDD505-2E9C-101B-9397-08002B2CF9AE}" pid="3" name="_dlc_DocIdItemGuid">
    <vt:lpwstr>09f33a27-d6d7-4ade-814d-566a2059e056</vt:lpwstr>
  </property>
</Properties>
</file>