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E286223F5F2E840BF7014E82339F0FF" ma:contentTypeVersion="49" ma:contentTypeDescription="Создание документа." ma:contentTypeScope="" ma:versionID="02e839dc84e9fc95928ee091de505975">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F246D-06FA-49B8-BF7F-80B8DC30CAFA}"/>
</file>

<file path=customXml/itemProps2.xml><?xml version="1.0" encoding="utf-8"?>
<ds:datastoreItem xmlns:ds="http://schemas.openxmlformats.org/officeDocument/2006/customXml" ds:itemID="{8E057CA8-F634-4EDF-87EC-A2D07D4FE72B}"/>
</file>

<file path=customXml/itemProps3.xml><?xml version="1.0" encoding="utf-8"?>
<ds:datastoreItem xmlns:ds="http://schemas.openxmlformats.org/officeDocument/2006/customXml" ds:itemID="{D49400FA-446E-4B92-8000-CEFE2B369C7A}"/>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FB34FCE7-6917-40F5-A26C-E69C80C620A5}"/>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0x0101005E286223F5F2E840BF7014E82339F0FF</vt:lpwstr>
  </property>
</Properties>
</file>