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475353" w:rsidRDefault="00D96096">
      <w:pPr>
        <w:pStyle w:val="3"/>
        <w:spacing w:before="0" w:beforeAutospacing="0" w:after="0" w:afterAutospacing="0"/>
        <w:ind w:left="4248" w:right="-143" w:firstLine="708"/>
        <w:rPr>
          <w:szCs w:val="28"/>
        </w:rPr>
      </w:pPr>
      <w:bookmarkStart w:id="0" w:name="_GoBack"/>
      <w:bookmarkEnd w:id="0"/>
      <w:r w:rsidRPr="00475353">
        <w:rPr>
          <w:szCs w:val="28"/>
        </w:rPr>
        <w:t>ОДОБРЕН</w:t>
      </w:r>
      <w:r w:rsidR="006827E0">
        <w:rPr>
          <w:szCs w:val="28"/>
        </w:rPr>
        <w:t>А</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00D96096"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00D96096"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00D96096"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00D96096" w:rsidRPr="00475353">
        <w:rPr>
          <w:rFonts w:ascii="Times New Roman" w:hAnsi="Times New Roman"/>
          <w:sz w:val="28"/>
          <w:szCs w:val="28"/>
          <w:lang w:eastAsia="ru-RU"/>
        </w:rPr>
        <w:t xml:space="preserve"> по общему образованию</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222AEF">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222AEF">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222AEF">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222AEF"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222AEF"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222AEF"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222AEF"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_Toc414553138 \h </w:instrText>
        </w:r>
        <w:r w:rsidR="00ED3318" w:rsidRPr="00475353">
          <w:rPr>
            <w:webHidden/>
          </w:rPr>
        </w:r>
        <w:r w:rsidR="00ED3318" w:rsidRPr="00475353">
          <w:rPr>
            <w:webHidden/>
          </w:rPr>
          <w:fldChar w:fldCharType="separate"/>
        </w:r>
        <w:r w:rsidR="00C10F9F">
          <w:rPr>
            <w:webHidden/>
          </w:rPr>
          <w:t>47</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222AEF"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222AEF"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222AEF"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_Toc414553228 \h </w:instrText>
        </w:r>
        <w:r w:rsidR="00ED3318" w:rsidRPr="00475353">
          <w:rPr>
            <w:webHidden/>
          </w:rPr>
        </w:r>
        <w:r w:rsidR="00ED3318" w:rsidRPr="00475353">
          <w:rPr>
            <w:webHidden/>
          </w:rPr>
          <w:fldChar w:fldCharType="separate"/>
        </w:r>
        <w:r w:rsidR="00C10F9F">
          <w:rPr>
            <w:webHidden/>
          </w:rPr>
          <w:t>264</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222AEF"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Pr="00475353" w:rsidRDefault="00222AEF"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222AEF"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222AEF"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222AEF"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222AEF"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222AEF"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222AEF">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222AEF">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222AEF"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222AEF"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222AEF"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222AEF"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222AEF"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222AEF"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2" o:title=""/>
          </v:shape>
          <o:OLEObject Type="Embed" ProgID="Equation.DSMT4" ShapeID="_x0000_i1025" DrawAspect="Content" ObjectID="_1516904636" r:id="rId13"/>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4" o:title=""/>
          </v:shape>
          <o:OLEObject Type="Embed" ProgID="Equation.DSMT4" ShapeID="_x0000_i1026" DrawAspect="Content" ObjectID="_1516904637" r:id="rId15"/>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6" o:title=""/>
          </v:shape>
          <o:OLEObject Type="Embed" ProgID="Equation.DSMT4" ShapeID="_x0000_i1027" DrawAspect="Content" ObjectID="_1516904638" r:id="rId17"/>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8" o:title=""/>
          </v:shape>
          <o:OLEObject Type="Embed" ProgID="Equation.DSMT4" ShapeID="_x0000_i1028" DrawAspect="Content" ObjectID="_1516904639" r:id="rId19"/>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20" o:title=""/>
          </v:shape>
          <o:OLEObject Type="Embed" ProgID="Equation.DSMT4" ShapeID="_x0000_i1029" DrawAspect="Content" ObjectID="_1516904640" r:id="rId21"/>
        </w:object>
      </w:r>
      <w:r w:rsidR="00ED3318"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ED3318"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22" o:title=""/>
          </v:shape>
          <o:OLEObject Type="Embed" ProgID="Equation.DSMT4" ShapeID="_x0000_i1030" DrawAspect="Content" ObjectID="_1516904641" r:id="rId23"/>
        </w:object>
      </w:r>
      <w:r w:rsidR="00A37B6D">
        <w:fldChar w:fldCharType="begin"/>
      </w:r>
      <w:r w:rsidR="00A37B6D">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5" o:title=""/>
          </v:shape>
          <o:OLEObject Type="Embed" ProgID="Equation.DSMT4" ShapeID="_x0000_i1031" DrawAspect="Content" ObjectID="_1516904642" r:id="rId26"/>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7" o:title=""/>
          </v:shape>
          <o:OLEObject Type="Embed" ProgID="Equation.DSMT4" ShapeID="_x0000_i1032" DrawAspect="Content" ObjectID="_1516904643" r:id="rId28"/>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5" o:title=""/>
          </v:shape>
          <o:OLEObject Type="Embed" ProgID="Equation.DSMT4" ShapeID="_x0000_i1033" DrawAspect="Content" ObjectID="_1516904644" r:id="rId30"/>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31" o:title=""/>
          </v:shape>
          <o:OLEObject Type="Embed" ProgID="Equation.DSMT4" ShapeID="_x0000_i1034" DrawAspect="Content" ObjectID="_1516904645" r:id="rId32"/>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7" o:title=""/>
          </v:shape>
          <o:OLEObject Type="Embed" ProgID="Equation.DSMT4" ShapeID="_x0000_i1035" DrawAspect="Content" ObjectID="_1516904646" r:id="rId33"/>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4" o:title=""/>
          </v:shape>
          <o:OLEObject Type="Embed" ProgID="Equation.DSMT4" ShapeID="_x0000_i1036" DrawAspect="Content" ObjectID="_1516904647" r:id="rId35"/>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6" o:title=""/>
          </v:shape>
          <o:OLEObject Type="Embed" ProgID="Equation.DSMT4" ShapeID="_x0000_i1037" DrawAspect="Content" ObjectID="_1516904648" r:id="rId37"/>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12" o:title=""/>
          </v:shape>
          <o:OLEObject Type="Embed" ProgID="Equation.DSMT4" ShapeID="_x0000_i1038" DrawAspect="Content" ObjectID="_1516904649" r:id="rId3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4" o:title=""/>
          </v:shape>
          <o:OLEObject Type="Embed" ProgID="Equation.DSMT4" ShapeID="_x0000_i1039" DrawAspect="Content" ObjectID="_1516904650" r:id="rId39"/>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40" o:title=""/>
          </v:shape>
          <o:OLEObject Type="Embed" ProgID="Equation.DSMT4" ShapeID="_x0000_i1040" DrawAspect="Content" ObjectID="_1516904651" r:id="rId41"/>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42" o:title=""/>
          </v:shape>
          <o:OLEObject Type="Embed" ProgID="Equation.DSMT4" ShapeID="_x0000_i1041" DrawAspect="Content" ObjectID="_1516904652" r:id="rId43"/>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5" o:title=""/>
          </v:shape>
          <o:OLEObject Type="Embed" ProgID="Equation.DSMT4" ShapeID="_x0000_i1042" DrawAspect="Content" ObjectID="_1516904653" r:id="rId46"/>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7" o:title=""/>
          </v:shape>
          <o:OLEObject Type="Embed" ProgID="Equation.DSMT4" ShapeID="_x0000_i1043" DrawAspect="Content" ObjectID="_1516904654" r:id="rId47"/>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8" o:title=""/>
          </v:shape>
          <o:OLEObject Type="Embed" ProgID="Equation.DSMT4" ShapeID="_x0000_i1044" DrawAspect="Content" ObjectID="_1516904655" r:id="rId48"/>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20" o:title=""/>
          </v:shape>
          <o:OLEObject Type="Embed" ProgID="Equation.DSMT4" ShapeID="_x0000_i1045" DrawAspect="Content" ObjectID="_1516904656" r:id="rId49"/>
        </w:objec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D3318"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22" o:title=""/>
          </v:shape>
          <o:OLEObject Type="Embed" ProgID="Equation.DSMT4" ShapeID="_x0000_i1046" DrawAspect="Content" ObjectID="_1516904657" r:id="rId50"/>
        </w:object>
      </w:r>
      <w:r w:rsidR="00A37B6D">
        <w:fldChar w:fldCharType="begin"/>
      </w:r>
      <w:r w:rsidR="00A37B6D">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5" o:title=""/>
          </v:shape>
          <o:OLEObject Type="Embed" ProgID="Equation.DSMT4" ShapeID="_x0000_i1047" DrawAspect="Content" ObjectID="_1516904658" r:id="rId51"/>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12" o:title=""/>
          </v:shape>
          <o:OLEObject Type="Embed" ProgID="Equation.DSMT4" ShapeID="_x0000_i1048" DrawAspect="Content" ObjectID="_1516904659" r:id="rId52"/>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4" o:title=""/>
          </v:shape>
          <o:OLEObject Type="Embed" ProgID="Equation.DSMT4" ShapeID="_x0000_i1049" DrawAspect="Content" ObjectID="_1516904660" r:id="rId53"/>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7" o:title=""/>
          </v:shape>
          <o:OLEObject Type="Embed" ProgID="Equation.DSMT4" ShapeID="_x0000_i1050" DrawAspect="Content" ObjectID="_1516904661" r:id="rId58"/>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9" o:title=""/>
          </v:shape>
          <o:OLEObject Type="Embed" ProgID="Equation.DSMT4" ShapeID="_x0000_i1051" DrawAspect="Content" ObjectID="_1516904662" r:id="rId60"/>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61" o:title=""/>
          </v:shape>
          <o:OLEObject Type="Embed" ProgID="Equation.DSMT4" ShapeID="_x0000_i1052" DrawAspect="Content" ObjectID="_1516904663" r:id="rId62"/>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63" o:title=""/>
          </v:shape>
          <o:OLEObject Type="Embed" ProgID="Equation.DSMT4" ShapeID="_x0000_i1053" DrawAspect="Content" ObjectID="_1516904664" r:id="rId64"/>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42" o:title=""/>
          </v:shape>
          <o:OLEObject Type="Embed" ProgID="Equation.DSMT4" ShapeID="_x0000_i1054" DrawAspect="Content" ObjectID="_1516904665" r:id="rId66"/>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7" o:title=""/>
          </v:shape>
          <o:OLEObject Type="Embed" ProgID="Equation.DSMT4" ShapeID="_x0000_i1055" DrawAspect="Content" ObjectID="_1516904666" r:id="rId68"/>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9" o:title=""/>
          </v:shape>
          <o:OLEObject Type="Embed" ProgID="Equation.DSMT4" ShapeID="_x0000_i1056" DrawAspect="Content" ObjectID="_1516904667" r:id="rId70"/>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71" o:title=""/>
          </v:shape>
          <o:OLEObject Type="Embed" ProgID="Equation.DSMT4" ShapeID="_x0000_i1057" DrawAspect="Content" ObjectID="_1516904668" r:id="rId72"/>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3"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2" w:name="_Toc414553281"/>
      <w:r w:rsidRPr="0074495D">
        <w:rPr>
          <w:rFonts w:ascii="Times New Roman" w:hAnsi="Times New Roman"/>
          <w:b/>
          <w:color w:val="auto"/>
          <w:sz w:val="28"/>
          <w:szCs w:val="28"/>
        </w:rPr>
        <w:t xml:space="preserve">3. </w:t>
      </w:r>
      <w:r w:rsidR="00B12AF3" w:rsidRPr="0074495D">
        <w:rPr>
          <w:rFonts w:ascii="Times New Roman" w:hAnsi="Times New Roman"/>
          <w:b/>
          <w:color w:val="auto"/>
          <w:sz w:val="28"/>
          <w:szCs w:val="28"/>
        </w:rPr>
        <w:t>Организационный раздел</w:t>
      </w:r>
      <w:bookmarkEnd w:id="410"/>
      <w:bookmarkEnd w:id="41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2"/>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3" w:name="_Toc406059069"/>
      <w:bookmarkStart w:id="414" w:name="_Toc409691733"/>
      <w:bookmarkStart w:id="415" w:name="_Toc410654074"/>
      <w:bookmarkStart w:id="416"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3"/>
      <w:r w:rsidR="00646A25" w:rsidRPr="0074495D">
        <w:t xml:space="preserve"> основного общего образования</w:t>
      </w:r>
      <w:bookmarkEnd w:id="414"/>
      <w:bookmarkEnd w:id="415"/>
      <w:bookmarkEnd w:id="416"/>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734856" w:rsidRPr="00734856" w:rsidRDefault="00734856" w:rsidP="00734856">
      <w:pPr>
        <w:spacing w:after="0" w:line="360" w:lineRule="auto"/>
        <w:ind w:firstLine="709"/>
        <w:jc w:val="both"/>
        <w:rPr>
          <w:rFonts w:ascii="Times New Roman" w:hAnsi="Times New Roman"/>
          <w:sz w:val="28"/>
          <w:szCs w:val="28"/>
        </w:rPr>
      </w:pPr>
      <w:r w:rsidRPr="00734856">
        <w:rPr>
          <w:rFonts w:ascii="Times New Roman" w:hAnsi="Times New Roman"/>
          <w:sz w:val="28"/>
          <w:szCs w:val="28"/>
        </w:rPr>
        <w:t>В государственных и муниципальных образовательных организациях, расположенных на терр</w:t>
      </w:r>
      <w:r w:rsidR="006D14D7">
        <w:rPr>
          <w:rFonts w:ascii="Times New Roman" w:hAnsi="Times New Roman"/>
          <w:sz w:val="28"/>
          <w:szCs w:val="28"/>
        </w:rPr>
        <w:t>итории республики</w:t>
      </w:r>
      <w:r w:rsidRPr="00734856">
        <w:rPr>
          <w:rFonts w:ascii="Times New Roman" w:hAnsi="Times New Roman"/>
          <w:sz w:val="28"/>
          <w:szCs w:val="28"/>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образовательной организац</w:t>
      </w:r>
      <w:r w:rsidR="00EC4DDB">
        <w:rPr>
          <w:rFonts w:ascii="Times New Roman" w:hAnsi="Times New Roman"/>
          <w:color w:val="222222"/>
          <w:sz w:val="28"/>
          <w:szCs w:val="28"/>
          <w:shd w:val="clear" w:color="auto" w:fill="FFFFFF"/>
        </w:rPr>
        <w:t>и</w:t>
      </w:r>
      <w:r w:rsidR="00C47010">
        <w:rPr>
          <w:rFonts w:ascii="Times New Roman" w:hAnsi="Times New Roman"/>
          <w:color w:val="222222"/>
          <w:sz w:val="28"/>
          <w:szCs w:val="28"/>
          <w:shd w:val="clear" w:color="auto" w:fill="FFFFFF"/>
        </w:rPr>
        <w:t xml:space="preserve">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 xml:space="preserve">35 недель. Количество учебных занятий за 5 лет не может составлять менее 5267 часов и более 6020часов.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82"/>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EF" w:rsidRDefault="00222AEF" w:rsidP="00B540EE">
      <w:pPr>
        <w:spacing w:after="0" w:line="240" w:lineRule="auto"/>
      </w:pPr>
      <w:r>
        <w:separator/>
      </w:r>
    </w:p>
  </w:endnote>
  <w:endnote w:type="continuationSeparator" w:id="0">
    <w:p w:rsidR="00222AEF" w:rsidRDefault="00222AEF"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9F" w:rsidRPr="00FC65AF" w:rsidRDefault="00ED3318" w:rsidP="00314F0F">
    <w:pPr>
      <w:pStyle w:val="af"/>
      <w:jc w:val="center"/>
      <w:rPr>
        <w:sz w:val="24"/>
        <w:szCs w:val="24"/>
      </w:rPr>
    </w:pPr>
    <w:r w:rsidRPr="00FC65AF">
      <w:rPr>
        <w:sz w:val="24"/>
        <w:szCs w:val="24"/>
      </w:rPr>
      <w:fldChar w:fldCharType="begin"/>
    </w:r>
    <w:r w:rsidR="00C10F9F" w:rsidRPr="00FC65AF">
      <w:rPr>
        <w:sz w:val="24"/>
        <w:szCs w:val="24"/>
      </w:rPr>
      <w:instrText>PAGE   \* MERGEFORMAT</w:instrText>
    </w:r>
    <w:r w:rsidRPr="00FC65AF">
      <w:rPr>
        <w:sz w:val="24"/>
        <w:szCs w:val="24"/>
      </w:rPr>
      <w:fldChar w:fldCharType="separate"/>
    </w:r>
    <w:r w:rsidR="00D44E70">
      <w:rPr>
        <w:noProof/>
        <w:sz w:val="24"/>
        <w:szCs w:val="24"/>
      </w:rPr>
      <w:t>1</w:t>
    </w:r>
    <w:r w:rsidRPr="00FC65AF">
      <w:rPr>
        <w:sz w:val="24"/>
        <w:szCs w:val="24"/>
      </w:rPr>
      <w:fldChar w:fldCharType="end"/>
    </w:r>
  </w:p>
  <w:p w:rsidR="00C10F9F" w:rsidRDefault="00C10F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EF" w:rsidRDefault="00222AEF" w:rsidP="00B540EE">
      <w:pPr>
        <w:spacing w:after="0" w:line="240" w:lineRule="auto"/>
      </w:pPr>
      <w:r>
        <w:separator/>
      </w:r>
    </w:p>
  </w:footnote>
  <w:footnote w:type="continuationSeparator" w:id="0">
    <w:p w:rsidR="00222AEF" w:rsidRDefault="00222AEF" w:rsidP="00B540EE">
      <w:pPr>
        <w:spacing w:after="0" w:line="240" w:lineRule="auto"/>
      </w:pPr>
      <w:r>
        <w:continuationSeparator/>
      </w:r>
    </w:p>
  </w:footnote>
  <w:footnote w:id="1">
    <w:p w:rsidR="00C10F9F" w:rsidRDefault="00C10F9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C10F9F" w:rsidRPr="006940DA" w:rsidRDefault="00C10F9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C10F9F" w:rsidRDefault="00C10F9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C10F9F" w:rsidRPr="00451AC4" w:rsidRDefault="00C10F9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10F9F" w:rsidRPr="0012121B" w:rsidRDefault="00C10F9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10F9F" w:rsidRDefault="00C10F9F">
      <w:pPr>
        <w:pStyle w:val="af4"/>
      </w:pPr>
    </w:p>
  </w:footnote>
  <w:footnote w:id="12">
    <w:p w:rsidR="00C10F9F" w:rsidRPr="00B222AB" w:rsidRDefault="00C10F9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C10F9F" w:rsidRPr="00025D75" w:rsidRDefault="00C10F9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C10F9F" w:rsidRPr="00275F4D" w:rsidRDefault="00C10F9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10F9F" w:rsidRPr="00C7059D" w:rsidRDefault="00C10F9F" w:rsidP="0042291A">
      <w:pPr>
        <w:pStyle w:val="af4"/>
        <w:rPr>
          <w:sz w:val="22"/>
          <w:szCs w:val="22"/>
        </w:rPr>
      </w:pPr>
    </w:p>
  </w:footnote>
  <w:footnote w:id="15">
    <w:p w:rsidR="00C10F9F" w:rsidRDefault="00C10F9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C10F9F" w:rsidRPr="001665A0" w:rsidRDefault="00C10F9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C10F9F" w:rsidRDefault="00C10F9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C10F9F" w:rsidRPr="008E46E5" w:rsidRDefault="00C10F9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2AE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403E"/>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37B6D"/>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4E70"/>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5.bin"/><Relationship Id="rId58" Type="http://schemas.openxmlformats.org/officeDocument/2006/relationships/oleObject" Target="embeddings/oleObject26.bin"/><Relationship Id="rId74" Type="http://schemas.openxmlformats.org/officeDocument/2006/relationships/image" Target="media/image29.emf"/><Relationship Id="rId79" Type="http://schemas.openxmlformats.org/officeDocument/2006/relationships/image" Target="media/image34.emf"/><Relationship Id="rId5" Type="http://schemas.openxmlformats.org/officeDocument/2006/relationships/numbering" Target="numbering.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0.png"/><Relationship Id="rId64" Type="http://schemas.openxmlformats.org/officeDocument/2006/relationships/oleObject" Target="embeddings/oleObject29.bin"/><Relationship Id="rId69" Type="http://schemas.openxmlformats.org/officeDocument/2006/relationships/image" Target="media/image27.wmf"/><Relationship Id="rId77" Type="http://schemas.openxmlformats.org/officeDocument/2006/relationships/image" Target="media/image32.emf"/><Relationship Id="rId8" Type="http://schemas.openxmlformats.org/officeDocument/2006/relationships/settings" Target="settings.xml"/><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5.emf"/><Relationship Id="rId85"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image" Target="media/image18.png"/><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0.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16.png"/><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25.png"/><Relationship Id="rId73" Type="http://schemas.openxmlformats.org/officeDocument/2006/relationships/hyperlink" Target="http://www.consultant.ru/document/cons_doc_LAW_99661/?dst=100004" TargetMode="External"/><Relationship Id="rId78" Type="http://schemas.openxmlformats.org/officeDocument/2006/relationships/image" Target="media/image33.emf"/><Relationship Id="rId81" Type="http://schemas.openxmlformats.org/officeDocument/2006/relationships/image" Target="media/image36.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34" Type="http://schemas.openxmlformats.org/officeDocument/2006/relationships/image" Target="media/image12.wmf"/><Relationship Id="rId50" Type="http://schemas.openxmlformats.org/officeDocument/2006/relationships/oleObject" Target="embeddings/oleObject22.bin"/><Relationship Id="rId55" Type="http://schemas.openxmlformats.org/officeDocument/2006/relationships/image" Target="media/image19.png"/><Relationship Id="rId76" Type="http://schemas.openxmlformats.org/officeDocument/2006/relationships/image" Target="media/image31.emf"/><Relationship Id="rId7" Type="http://schemas.microsoft.com/office/2007/relationships/stylesWithEffects" Target="stylesWithEffects.xml"/><Relationship Id="rId71"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image" Target="media/image17.wmf"/><Relationship Id="rId66" Type="http://schemas.openxmlformats.org/officeDocument/2006/relationships/oleObject" Target="embeddings/oleObject30.bin"/><Relationship Id="rId61" Type="http://schemas.openxmlformats.org/officeDocument/2006/relationships/image" Target="media/image23.wmf"/><Relationship Id="rId8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18DFE926818294197A367DA6DC2FDF0" ma:contentTypeVersion="1" ma:contentTypeDescription="Создание документа." ma:contentTypeScope="" ma:versionID="58e9ec99828b56d48a0cfe1cf796b29e">
  <xsd:schema xmlns:xsd="http://www.w3.org/2001/XMLSchema" xmlns:xs="http://www.w3.org/2001/XMLSchema" xmlns:p="http://schemas.microsoft.com/office/2006/metadata/properties" xmlns:ns2="134c83b0-daba-48ad-8a7d-75e8d548d543" targetNamespace="http://schemas.microsoft.com/office/2006/metadata/properties" ma:root="true" ma:fieldsID="a2f2ab80eb441aec93e1bfc7e6bf8f37"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Z7KFWENHHMJR-1173714410-57</_dlc_DocId>
    <_dlc_DocIdUrl xmlns="134c83b0-daba-48ad-8a7d-75e8d548d543">
      <Url>http://www.eduportal44.ru/Galich/school1/_layouts/15/DocIdRedir.aspx?ID=Z7KFWENHHMJR-1173714410-57</Url>
      <Description>Z7KFWENHHMJR-1173714410-57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B801B-A4C0-4F64-85C8-8BDA9EC269EB}"/>
</file>

<file path=customXml/itemProps2.xml><?xml version="1.0" encoding="utf-8"?>
<ds:datastoreItem xmlns:ds="http://schemas.openxmlformats.org/officeDocument/2006/customXml" ds:itemID="{475D971C-54E8-446F-804E-4A539E4A1617}"/>
</file>

<file path=customXml/itemProps3.xml><?xml version="1.0" encoding="utf-8"?>
<ds:datastoreItem xmlns:ds="http://schemas.openxmlformats.org/officeDocument/2006/customXml" ds:itemID="{802089E7-A2D7-49D4-A7EA-5F072B352248}"/>
</file>

<file path=customXml/itemProps4.xml><?xml version="1.0" encoding="utf-8"?>
<ds:datastoreItem xmlns:ds="http://schemas.openxmlformats.org/officeDocument/2006/customXml" ds:itemID="{CA2DE3D4-3E68-4710-88E9-6D5D41924DA3}"/>
</file>

<file path=customXml/itemProps5.xml><?xml version="1.0" encoding="utf-8"?>
<ds:datastoreItem xmlns:ds="http://schemas.openxmlformats.org/officeDocument/2006/customXml" ds:itemID="{0EEEE8B5-372B-4A60-BC7A-02EF21E79DA0}"/>
</file>

<file path=docProps/app.xml><?xml version="1.0" encoding="utf-8"?>
<Properties xmlns="http://schemas.openxmlformats.org/officeDocument/2006/extended-properties" xmlns:vt="http://schemas.openxmlformats.org/officeDocument/2006/docPropsVTypes">
  <Template>Normal</Template>
  <TotalTime>0</TotalTime>
  <Pages>3</Pages>
  <Words>130794</Words>
  <Characters>745526</Characters>
  <Application>Microsoft Office Word</Application>
  <DocSecurity>0</DocSecurity>
  <Lines>6212</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874571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образовательная программа</dc:title>
  <dc:creator>Вачкова Светлана Николаевна</dc:creator>
  <cp:lastModifiedBy>Воронцова Л И</cp:lastModifiedBy>
  <cp:revision>2</cp:revision>
  <cp:lastPrinted>2015-05-26T08:00:00Z</cp:lastPrinted>
  <dcterms:created xsi:type="dcterms:W3CDTF">2016-02-13T18:37:00Z</dcterms:created>
  <dcterms:modified xsi:type="dcterms:W3CDTF">2016-02-13T18:37:00Z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0x010100C18DFE926818294197A367DA6DC2FDF0</vt:lpwstr>
  </property>
  <property fmtid="{D5CDD505-2E9C-101B-9397-08002B2CF9AE}" pid="3" name="_dlc_DocIdItemGuid">
    <vt:lpwstr>c669c54c-ba62-4145-9bf8-6d92766997a2</vt:lpwstr>
  </property>
</Properties>
</file>