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Z7KFWENHHMJR-1354-2018</_dlc_DocId>
    <_dlc_DocIdUrl xmlns="134c83b0-daba-48ad-8a7d-75e8d548d543">
      <Url>http://www.eduportal44.ru/Galich/dchool2galich/_layouts/15/DocIdRedir.aspx?ID=Z7KFWENHHMJR-1354-2018</Url>
      <Description>Z7KFWENHHMJR-1354-2018</Description>
    </_dlc_DocIdUrl>
  </documentManagement>
</p:properties>
</file>

<file path=customXml/itemProps1.xml><?xml version="1.0" encoding="utf-8"?>
<ds:datastoreItem xmlns:ds="http://schemas.openxmlformats.org/officeDocument/2006/customXml" ds:itemID="{C1C9E1F7-FF07-4DA7-B666-BB581FA20C90}"/>
</file>

<file path=customXml/itemProps2.xml><?xml version="1.0" encoding="utf-8"?>
<ds:datastoreItem xmlns:ds="http://schemas.openxmlformats.org/officeDocument/2006/customXml" ds:itemID="{65EF9EBD-AE37-488C-BD29-4A0B7B3CCC52}"/>
</file>

<file path=customXml/itemProps3.xml><?xml version="1.0" encoding="utf-8"?>
<ds:datastoreItem xmlns:ds="http://schemas.openxmlformats.org/officeDocument/2006/customXml" ds:itemID="{1A6BE07B-7713-4BC8-8ADC-C7CCA667E3CE}"/>
</file>

<file path=customXml/itemProps4.xml><?xml version="1.0" encoding="utf-8"?>
<ds:datastoreItem xmlns:ds="http://schemas.openxmlformats.org/officeDocument/2006/customXml" ds:itemID="{7C830ECC-187F-4C2C-BB77-AD0A5AED3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лекционного курса на тему Оказание первой помощи при инсульте и инфаркте</dc:title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0x010100C4F2E9992B0084439E831A1D2532BD5E</vt:lpwstr>
  </property>
  <property fmtid="{D5CDD505-2E9C-101B-9397-08002B2CF9AE}" pid="10" name="_dlc_DocIdItemGuid">
    <vt:lpwstr>e15c842f-cf94-4419-907c-dc6dfd675371</vt:lpwstr>
  </property>
</Properties>
</file>