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</w:t>
      </w:r>
      <w:proofErr w:type="gramStart"/>
      <w:r w:rsidRPr="00E14CE5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14CE5">
        <w:rPr>
          <w:rFonts w:ascii="Times New Roman" w:hAnsi="Times New Roman" w:cs="Times New Roman"/>
          <w:b/>
          <w:sz w:val="20"/>
          <w:szCs w:val="20"/>
        </w:rPr>
        <w:t xml:space="preserve">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14-16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>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 xml:space="preserve">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proofErr w:type="gramStart"/>
      <w:r w:rsidRPr="00291547">
        <w:rPr>
          <w:sz w:val="20"/>
          <w:szCs w:val="20"/>
        </w:rPr>
        <w:lastRenderedPageBreak/>
        <w:t>При трудоустройстве подростков на временные работы в свободное от учебы время по направлению</w:t>
      </w:r>
      <w:proofErr w:type="gramEnd"/>
      <w:r w:rsidRPr="00291547">
        <w:rPr>
          <w:sz w:val="20"/>
          <w:szCs w:val="20"/>
        </w:rPr>
        <w:t xml:space="preserve">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Кострома ул. Свердлова 129,   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  <w:proofErr w:type="gramEnd"/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Default="00AD72AE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proofErr w:type="gramStart"/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  <w:proofErr w:type="gramEnd"/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D1478F"/>
    <w:rsid w:val="00D33FCB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69BE685E7B34BB2B6444EAD66A44B" ma:contentTypeVersion="49" ma:contentTypeDescription="Создание документа." ma:contentTypeScope="" ma:versionID="7e2b5544ef6262b7f4563e88106297b4">
  <xsd:schema xmlns:xsd="http://www.w3.org/2001/XMLSchema" xmlns:xs="http://www.w3.org/2001/XMLSchema" xmlns:p="http://schemas.microsoft.com/office/2006/metadata/properties" xmlns:ns2="ea7448b8-9fac-46e0-8a38-5fc479288cf2" xmlns:ns3="4a252ca3-5a62-4c1c-90a6-29f4710e47f8" targetNamespace="http://schemas.microsoft.com/office/2006/metadata/properties" ma:root="true" ma:fieldsID="5de4e87f436cae4714f09d48fa46fbd4" ns2:_="" ns3:_="">
    <xsd:import namespace="ea7448b8-9fac-46e0-8a38-5fc479288cf2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48b8-9fac-46e0-8a38-5fc47928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AWJJH2MPE6E2-1579370233-1123</_dlc_DocId>
    <_dlc_DocIdUrl xmlns="4a252ca3-5a62-4c1c-90a6-29f4710e47f8">
      <Url>http://edu-sps.koiro.local/BuyR/uprobr/_layouts/15/DocIdRedir.aspx?ID=AWJJH2MPE6E2-1579370233-1123</Url>
      <Description>AWJJH2MPE6E2-1579370233-1123</Description>
    </_dlc_DocIdUrl>
  </documentManagement>
</p:properties>
</file>

<file path=customXml/itemProps1.xml><?xml version="1.0" encoding="utf-8"?>
<ds:datastoreItem xmlns:ds="http://schemas.openxmlformats.org/officeDocument/2006/customXml" ds:itemID="{BB14FAA7-5BF6-4EC0-9408-A100E21F287E}"/>
</file>

<file path=customXml/itemProps2.xml><?xml version="1.0" encoding="utf-8"?>
<ds:datastoreItem xmlns:ds="http://schemas.openxmlformats.org/officeDocument/2006/customXml" ds:itemID="{689D295B-866D-450D-8A3F-8E3DC633CDF6}"/>
</file>

<file path=customXml/itemProps3.xml><?xml version="1.0" encoding="utf-8"?>
<ds:datastoreItem xmlns:ds="http://schemas.openxmlformats.org/officeDocument/2006/customXml" ds:itemID="{D0F41770-DF02-432A-A1B9-07D11CB1987F}"/>
</file>

<file path=customXml/itemProps4.xml><?xml version="1.0" encoding="utf-8"?>
<ds:datastoreItem xmlns:ds="http://schemas.openxmlformats.org/officeDocument/2006/customXml" ds:itemID="{C557A56C-8207-4608-B8E8-439565EC77B0}"/>
</file>

<file path=customXml/itemProps5.xml><?xml version="1.0" encoding="utf-8"?>
<ds:datastoreItem xmlns:ds="http://schemas.openxmlformats.org/officeDocument/2006/customXml" ds:itemID="{5FD97EEC-A90A-418F-9BDC-DC1A50E1D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Batyaeva-YE</cp:lastModifiedBy>
  <cp:revision>12</cp:revision>
  <cp:lastPrinted>2019-05-21T07:57:00Z</cp:lastPrinted>
  <dcterms:created xsi:type="dcterms:W3CDTF">2019-05-17T12:56:00Z</dcterms:created>
  <dcterms:modified xsi:type="dcterms:W3CDTF">2019-05-21T08:00:00Z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0x0101002A869BE685E7B34BB2B6444EAD66A44B</vt:lpwstr>
  </property>
  <property fmtid="{D5CDD505-2E9C-101B-9397-08002B2CF9AE}" pid="3" name="_dlc_DocIdItemGuid">
    <vt:lpwstr>39857626-01b7-4897-b660-aba33012073f</vt:lpwstr>
  </property>
</Properties>
</file>