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t>от  10.07</w:t>
      </w:r>
      <w:proofErr w:type="gramEnd"/>
      <w:r>
        <w:t>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 xml:space="preserve">место работы, </w:t>
      </w:r>
      <w:proofErr w:type="gramStart"/>
      <w:r w:rsidR="00AF27D5">
        <w:t xml:space="preserve">должность </w:t>
      </w:r>
      <w:r w:rsidRPr="00BC0299">
        <w:t>)</w:t>
      </w:r>
      <w:proofErr w:type="gramEnd"/>
    </w:p>
    <w:p w:rsidR="00E27CE4" w:rsidRDefault="009825AA" w:rsidP="001E7EE3">
      <w:pPr>
        <w:jc w:val="both"/>
      </w:pPr>
      <w:proofErr w:type="gramStart"/>
      <w:r>
        <w:t xml:space="preserve">провели </w:t>
      </w:r>
      <w:r w:rsidR="001E7EE3">
        <w:t xml:space="preserve"> всесторонний</w:t>
      </w:r>
      <w:proofErr w:type="gramEnd"/>
      <w:r w:rsidR="001E7EE3">
        <w:t xml:space="preserve">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5706"/>
        <w:gridCol w:w="3260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5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 w:rsidR="00DB2147">
              <w:rPr>
                <w:sz w:val="22"/>
                <w:szCs w:val="22"/>
              </w:rPr>
              <w:t>учебных достижений</w:t>
            </w:r>
            <w:proofErr w:type="gramEnd"/>
            <w:r w:rsidR="00DB2147"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мониторинг – мониторинг, 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Качество </w:t>
            </w:r>
            <w:proofErr w:type="gramStart"/>
            <w:r>
              <w:t>знаний</w:t>
            </w:r>
            <w:proofErr w:type="gramEnd"/>
            <w:r>
              <w:t xml:space="preserve">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Tr="00FC2B39">
        <w:trPr>
          <w:trHeight w:val="253"/>
        </w:trPr>
        <w:tc>
          <w:tcPr>
            <w:tcW w:w="738" w:type="dxa"/>
            <w:vMerge w:val="restart"/>
          </w:tcPr>
          <w:p w:rsidR="00262A10" w:rsidRDefault="00262A10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262A10" w:rsidRDefault="00262A10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5706" w:type="dxa"/>
            <w:vMerge w:val="restart"/>
          </w:tcPr>
          <w:p w:rsidR="00262A10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результатов.</w:t>
            </w:r>
          </w:p>
          <w:p w:rsidR="00262A10" w:rsidRDefault="00262A10" w:rsidP="002D6D5B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расчете показателя по качеству знаний по результатам ЕГЭ учитывается количество обучающихся, показавших результаты на уровне (1 квалификационная категория) или выше среднерегиональных результатов (высшая квалификационная категория)</w:t>
            </w:r>
          </w:p>
        </w:tc>
      </w:tr>
      <w:tr w:rsidR="006A29D1" w:rsidTr="002D6D5B">
        <w:trPr>
          <w:trHeight w:val="252"/>
        </w:trPr>
        <w:tc>
          <w:tcPr>
            <w:tcW w:w="738" w:type="dxa"/>
            <w:vMerge/>
          </w:tcPr>
          <w:p w:rsidR="006A29D1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07" w:type="dxa"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C304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C3042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</w:tc>
        <w:tc>
          <w:tcPr>
            <w:tcW w:w="3260" w:type="dxa"/>
            <w:vMerge/>
          </w:tcPr>
          <w:p w:rsidR="00B10B62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Pr="00E27CE4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7C4CA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40% </w:t>
            </w:r>
            <w:r w:rsidR="007C4CA4">
              <w:rPr>
                <w:sz w:val="22"/>
                <w:szCs w:val="22"/>
              </w:rPr>
              <w:t>выше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итоговой аттестации, в том числе государственной итоговой аттестации в форме ОГЭ*</w:t>
            </w:r>
          </w:p>
          <w:p w:rsidR="00B10B62" w:rsidRPr="007734FD" w:rsidRDefault="00B10B62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CC304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623E1" w:rsidRDefault="00B10B62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C623E1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B10B62" w:rsidRDefault="00B10B62" w:rsidP="00235027">
            <w:pPr>
              <w:shd w:val="clear" w:color="auto" w:fill="FFFFFF" w:themeFill="background1"/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C3042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*Для педагогов профессиональных образовательных организаций– по результатам итоговой аттестации по дисциплинам</w:t>
            </w: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A75595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B62">
              <w:rPr>
                <w:sz w:val="20"/>
                <w:szCs w:val="20"/>
              </w:rPr>
              <w:t>0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</w:t>
            </w:r>
            <w:proofErr w:type="gramStart"/>
            <w:r>
              <w:rPr>
                <w:i/>
                <w:sz w:val="20"/>
                <w:szCs w:val="22"/>
              </w:rPr>
              <w:t>выпускников</w:t>
            </w:r>
            <w:proofErr w:type="gramEnd"/>
            <w:r>
              <w:rPr>
                <w:i/>
                <w:sz w:val="20"/>
                <w:szCs w:val="22"/>
              </w:rPr>
              <w:t xml:space="preserve">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5706" w:type="dxa"/>
            <w:vMerge w:val="restart"/>
          </w:tcPr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от 3 до 9%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10% и более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9141D5"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</w:tcPr>
          <w:p w:rsidR="009141D5" w:rsidRDefault="009141D5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02822">
              <w:rPr>
                <w:sz w:val="22"/>
                <w:szCs w:val="22"/>
              </w:rPr>
              <w:t>результатах  мониторинга</w:t>
            </w:r>
            <w:proofErr w:type="gramEnd"/>
            <w:r w:rsidRPr="00F02822">
              <w:rPr>
                <w:sz w:val="22"/>
                <w:szCs w:val="22"/>
              </w:rPr>
              <w:t xml:space="preserve">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Pr="00F475B1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9141D5"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</w:tcPr>
          <w:p w:rsidR="009141D5" w:rsidRPr="00F02822" w:rsidRDefault="009141D5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Pr="002F2408" w:rsidRDefault="009141D5" w:rsidP="009141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RPr="0091515B" w:rsidTr="002D6D5B">
        <w:trPr>
          <w:trHeight w:val="253"/>
        </w:trPr>
        <w:tc>
          <w:tcPr>
            <w:tcW w:w="738" w:type="dxa"/>
          </w:tcPr>
          <w:p w:rsidR="009141D5" w:rsidRPr="0091515B" w:rsidRDefault="009141D5" w:rsidP="009141D5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4"/>
          </w:tcPr>
          <w:p w:rsidR="009141D5" w:rsidRPr="0091515B" w:rsidRDefault="009141D5" w:rsidP="009141D5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 xml:space="preserve">Выявление и развитие </w:t>
            </w:r>
            <w:proofErr w:type="gramStart"/>
            <w:r w:rsidRPr="0091515B">
              <w:rPr>
                <w:b/>
              </w:rPr>
              <w:t>способностей</w:t>
            </w:r>
            <w:proofErr w:type="gramEnd"/>
            <w:r w:rsidRPr="0091515B">
              <w:rPr>
                <w:b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9141D5" w:rsidTr="00FC2B39">
        <w:trPr>
          <w:trHeight w:val="682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9141D5" w:rsidRPr="00960F40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7527D4" w:rsidRPr="00F32346" w:rsidRDefault="007527D4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1AE1" w:rsidRPr="00F32346" w:rsidRDefault="00681AE1" w:rsidP="00681AE1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vMerge w:val="restart"/>
          </w:tcPr>
          <w:p w:rsidR="009141D5" w:rsidRPr="00E06A6A" w:rsidRDefault="009141D5" w:rsidP="009141D5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Pr="00E06A6A" w:rsidRDefault="00CB259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Default="00CB2595" w:rsidP="009141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lastRenderedPageBreak/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CB2595" w:rsidRPr="00CB2595" w:rsidRDefault="00CB259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681A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81AE1" w:rsidRPr="00E06A6A" w:rsidRDefault="00681AE1" w:rsidP="003842F0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 xml:space="preserve">сов, соревнований уровня </w:t>
            </w:r>
            <w:r w:rsidR="003842F0">
              <w:rPr>
                <w:sz w:val="22"/>
              </w:rPr>
              <w:t xml:space="preserve">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681AE1" w:rsidRPr="0007774F" w:rsidRDefault="00681AE1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Pr="0007774F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42F0" w:rsidTr="007A03CF">
        <w:trPr>
          <w:trHeight w:val="516"/>
        </w:trPr>
        <w:tc>
          <w:tcPr>
            <w:tcW w:w="738" w:type="dxa"/>
            <w:vMerge/>
          </w:tcPr>
          <w:p w:rsidR="003842F0" w:rsidRDefault="003842F0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842F0" w:rsidRPr="00E06A6A" w:rsidRDefault="003842F0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842F0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3842F0" w:rsidRPr="0007774F" w:rsidRDefault="003842F0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842F0" w:rsidRPr="0007774F" w:rsidRDefault="003842F0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9" w:type="dxa"/>
            <w:gridSpan w:val="2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DC3276" w:rsidRPr="00F32346" w:rsidRDefault="00DC3276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CB2595" w:rsidRPr="00F32346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07774F" w:rsidRDefault="00CB2595" w:rsidP="00CB2595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7527D4" w:rsidTr="002D6D5B">
        <w:trPr>
          <w:trHeight w:val="253"/>
        </w:trPr>
        <w:tc>
          <w:tcPr>
            <w:tcW w:w="738" w:type="dxa"/>
            <w:vMerge/>
          </w:tcPr>
          <w:p w:rsidR="007527D4" w:rsidRDefault="007527D4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7527D4" w:rsidRDefault="007527D4" w:rsidP="00752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 w:rsidR="003842F0">
              <w:rPr>
                <w:sz w:val="22"/>
              </w:rPr>
              <w:t xml:space="preserve"> (дистанционных)</w:t>
            </w:r>
            <w:r>
              <w:rPr>
                <w:sz w:val="22"/>
              </w:rPr>
              <w:t xml:space="preserve"> олимпиад, конкурсов</w:t>
            </w:r>
          </w:p>
        </w:tc>
        <w:tc>
          <w:tcPr>
            <w:tcW w:w="907" w:type="dxa"/>
          </w:tcPr>
          <w:p w:rsidR="007527D4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7527D4" w:rsidRPr="0007774F" w:rsidRDefault="007527D4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527D4" w:rsidRPr="0007774F" w:rsidRDefault="007527D4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FE2" w:rsidTr="002D6D5B">
        <w:trPr>
          <w:trHeight w:val="253"/>
        </w:trPr>
        <w:tc>
          <w:tcPr>
            <w:tcW w:w="738" w:type="dxa"/>
            <w:vMerge/>
          </w:tcPr>
          <w:p w:rsidR="00A90FE2" w:rsidRDefault="00A90FE2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A90FE2" w:rsidRPr="00F32346" w:rsidRDefault="00A90FE2" w:rsidP="00384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</w:t>
            </w:r>
            <w:proofErr w:type="gramStart"/>
            <w:r>
              <w:rPr>
                <w:sz w:val="22"/>
                <w:szCs w:val="22"/>
              </w:rPr>
              <w:t xml:space="preserve">соревнования </w:t>
            </w:r>
            <w:r w:rsidR="003842F0">
              <w:rPr>
                <w:sz w:val="22"/>
                <w:szCs w:val="22"/>
              </w:rPr>
              <w:t xml:space="preserve"> </w:t>
            </w:r>
            <w:r w:rsidR="003842F0">
              <w:rPr>
                <w:sz w:val="22"/>
              </w:rPr>
              <w:t>уровня</w:t>
            </w:r>
            <w:proofErr w:type="gramEnd"/>
            <w:r w:rsidR="003842F0">
              <w:rPr>
                <w:sz w:val="22"/>
              </w:rPr>
              <w:t xml:space="preserve"> 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A90FE2" w:rsidRPr="00F32346" w:rsidRDefault="00A90FE2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A90FE2" w:rsidRPr="0007774F" w:rsidRDefault="00A90FE2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90FE2" w:rsidRPr="0007774F" w:rsidRDefault="00A90FE2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proofErr w:type="gramStart"/>
            <w:r w:rsidRPr="00F32346">
              <w:rPr>
                <w:sz w:val="22"/>
                <w:szCs w:val="22"/>
              </w:rPr>
              <w:t>муниципального  уровня</w:t>
            </w:r>
            <w:proofErr w:type="gramEnd"/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62A10">
        <w:trPr>
          <w:trHeight w:val="589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9141D5" w:rsidRPr="00873B98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CB2595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CB2595" w:rsidRDefault="00CB2595" w:rsidP="00CB259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385401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6C7FF9" w:rsidRDefault="009141D5" w:rsidP="009141D5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385401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суммируется </w:t>
            </w:r>
            <w:proofErr w:type="gramStart"/>
            <w:r>
              <w:rPr>
                <w:b/>
                <w:iCs/>
                <w:sz w:val="22"/>
                <w:szCs w:val="22"/>
              </w:rPr>
              <w:t>за каждую образовательную программ</w:t>
            </w:r>
            <w:proofErr w:type="gramEnd"/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vMerge w:val="restart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E55F5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vMerge w:val="restart"/>
          </w:tcPr>
          <w:p w:rsidR="009141D5" w:rsidRPr="00BA67BC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9141D5" w:rsidP="00231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</w:tcPr>
          <w:p w:rsidR="009141D5" w:rsidRDefault="009141D5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9141D5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231A3F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</w:t>
            </w:r>
            <w:r w:rsidR="009141D5"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93037" w:rsidRDefault="009141D5" w:rsidP="00914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vMerge w:val="restart"/>
          </w:tcPr>
          <w:p w:rsidR="00AD45C0" w:rsidRPr="00AD45C0" w:rsidRDefault="009141D5" w:rsidP="00AD45C0">
            <w:r w:rsidRPr="00AD45C0">
              <w:t>Отзывы (не менее 2 уроков/занятий</w:t>
            </w:r>
            <w:r w:rsidRPr="00AD45C0">
              <w:rPr>
                <w:b/>
              </w:rPr>
              <w:t>**</w:t>
            </w:r>
            <w:r w:rsidRPr="00AD45C0">
              <w:t>): педагогического работника учреждения дополнительного профессионального образования, председателя муниципального или регионального мет</w:t>
            </w:r>
            <w:r w:rsidR="00AD45C0" w:rsidRPr="00AD45C0">
              <w:t xml:space="preserve">одического объединения, специалиста, </w:t>
            </w:r>
            <w:proofErr w:type="gramStart"/>
            <w:r w:rsidR="00AD45C0" w:rsidRPr="00AD45C0">
              <w:t xml:space="preserve">привлекаемого  </w:t>
            </w:r>
            <w:r w:rsidR="00AD45C0" w:rsidRPr="00AD45C0">
              <w:t>для</w:t>
            </w:r>
            <w:proofErr w:type="gramEnd"/>
            <w:r w:rsidR="00AD45C0" w:rsidRPr="00AD45C0">
              <w:t xml:space="preserve"> осуществления всестороннего</w:t>
            </w:r>
          </w:p>
          <w:p w:rsidR="00AD45C0" w:rsidRPr="00AD45C0" w:rsidRDefault="00AD45C0" w:rsidP="00AD45C0">
            <w:r w:rsidRPr="00AD45C0">
              <w:t>анализа профессиональной деятельности</w:t>
            </w:r>
          </w:p>
          <w:p w:rsidR="009141D5" w:rsidRPr="00AD45C0" w:rsidRDefault="00AD45C0" w:rsidP="00AD45C0">
            <w:pPr>
              <w:jc w:val="both"/>
            </w:pPr>
            <w:r w:rsidRPr="00AD45C0">
              <w:t>педагогических работников</w:t>
            </w:r>
            <w:bookmarkStart w:id="0" w:name="_GoBack"/>
            <w:bookmarkEnd w:id="0"/>
            <w:r w:rsidR="009141D5" w:rsidRPr="00AD45C0">
              <w:t>. Отзыв члена жюри профессионального конкурса (на момент проведения конкурса).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vMerge w:val="restart"/>
          </w:tcPr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>не производится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</w:t>
            </w:r>
            <w:proofErr w:type="spellStart"/>
            <w:r w:rsidRPr="004E6D55">
              <w:rPr>
                <w:sz w:val="22"/>
                <w:szCs w:val="22"/>
              </w:rPr>
              <w:t>аттестующихся</w:t>
            </w:r>
            <w:proofErr w:type="spellEnd"/>
            <w:r w:rsidRPr="004E6D55">
              <w:rPr>
                <w:sz w:val="22"/>
                <w:szCs w:val="22"/>
              </w:rPr>
              <w:t xml:space="preserve"> на заявленную категорию впервые не менее 3-х уроков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9141D5" w:rsidRPr="00E70FEC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9141D5" w:rsidRDefault="009141D5" w:rsidP="009141D5">
            <w:pPr>
              <w:snapToGrid w:val="0"/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E6D5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  <w:rPr>
                <w:iCs/>
              </w:rPr>
            </w:pPr>
          </w:p>
          <w:p w:rsidR="009141D5" w:rsidRDefault="009141D5" w:rsidP="009141D5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231A3F">
            <w:pPr>
              <w:snapToGrid w:val="0"/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62A10">
        <w:trPr>
          <w:trHeight w:val="392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</w:pPr>
          </w:p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показателям может суммироваться в зависимости от результативности участия (но не более трех </w:t>
            </w:r>
            <w:proofErr w:type="gramStart"/>
            <w:r>
              <w:rPr>
                <w:b/>
                <w:iCs/>
                <w:sz w:val="22"/>
                <w:szCs w:val="22"/>
              </w:rPr>
              <w:t>мероприятий)*</w:t>
            </w:r>
            <w:proofErr w:type="gramEnd"/>
          </w:p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vMerge w:val="restart"/>
          </w:tcPr>
          <w:p w:rsidR="009141D5" w:rsidRPr="0035736C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vMerge w:val="restart"/>
          </w:tcPr>
          <w:p w:rsidR="009141D5" w:rsidRPr="0035736C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9141D5" w:rsidRPr="004E6D55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9141D5" w:rsidRDefault="009141D5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9141D5" w:rsidRPr="0064267F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A03CF" w:rsidRPr="00EB2F3D" w:rsidRDefault="007A03CF" w:rsidP="009141D5">
            <w:pPr>
              <w:jc w:val="both"/>
            </w:pPr>
            <w:r>
              <w:rPr>
                <w:sz w:val="22"/>
                <w:szCs w:val="22"/>
              </w:rPr>
              <w:t xml:space="preserve">Справка руководителя образовательного учреждения, характеризующая деятельность </w:t>
            </w:r>
            <w:r w:rsidR="00BC102D">
              <w:rPr>
                <w:sz w:val="22"/>
                <w:szCs w:val="22"/>
              </w:rPr>
              <w:t>педагога-наставника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FC2B39">
        <w:trPr>
          <w:trHeight w:val="253"/>
        </w:trPr>
        <w:tc>
          <w:tcPr>
            <w:tcW w:w="738" w:type="dxa"/>
            <w:vMerge w:val="restart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:rsidR="00681AE1" w:rsidRDefault="00681AE1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vMerge w:val="restart"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DB227B" w:rsidRDefault="00DB227B" w:rsidP="009141D5">
            <w:pPr>
              <w:jc w:val="both"/>
              <w:rPr>
                <w:iCs/>
                <w:sz w:val="22"/>
                <w:szCs w:val="22"/>
              </w:rPr>
            </w:pPr>
          </w:p>
          <w:p w:rsidR="00DB227B" w:rsidRDefault="00DB227B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</w:t>
            </w:r>
            <w:r w:rsidR="00DC3276">
              <w:rPr>
                <w:iCs/>
                <w:sz w:val="22"/>
                <w:szCs w:val="22"/>
              </w:rPr>
              <w:t xml:space="preserve">ьных организаций копия приказа </w:t>
            </w:r>
            <w:r>
              <w:rPr>
                <w:iCs/>
                <w:sz w:val="22"/>
                <w:szCs w:val="22"/>
              </w:rPr>
              <w:t>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vMerge w:val="restart"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</w:tcPr>
          <w:p w:rsidR="00681AE1" w:rsidRDefault="00681AE1" w:rsidP="00030E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907" w:type="dxa"/>
          </w:tcPr>
          <w:p w:rsidR="009141D5" w:rsidRPr="00D22B75" w:rsidRDefault="009141D5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</w:t>
            </w:r>
            <w:proofErr w:type="gramEnd"/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9141D5" w:rsidRPr="00D22B7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на электронном носителе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либо</w:t>
            </w:r>
          </w:p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указывается ссылка на </w:t>
            </w:r>
            <w:proofErr w:type="gramStart"/>
            <w:r>
              <w:rPr>
                <w:sz w:val="22"/>
                <w:szCs w:val="22"/>
              </w:rPr>
              <w:t>страницу  сайта</w:t>
            </w:r>
            <w:proofErr w:type="gramEnd"/>
            <w:r>
              <w:rPr>
                <w:sz w:val="22"/>
                <w:szCs w:val="22"/>
              </w:rPr>
              <w:t xml:space="preserve"> педагога  или электронный кабинет (*баллы по показателям не суммируются, выбирается максимальное значение)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lastRenderedPageBreak/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4302" w:type="dxa"/>
          </w:tcPr>
          <w:p w:rsidR="009141D5" w:rsidRDefault="009141D5" w:rsidP="009141D5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9141D5" w:rsidRPr="00257513" w:rsidRDefault="009141D5" w:rsidP="009141D5">
            <w:pPr>
              <w:jc w:val="center"/>
            </w:pPr>
            <w:r>
              <w:t>4</w:t>
            </w:r>
            <w:r w:rsidRPr="00257513">
              <w:t>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9141D5" w:rsidRPr="00055174" w:rsidRDefault="009141D5" w:rsidP="009141D5">
            <w:pPr>
              <w:rPr>
                <w:b/>
                <w:sz w:val="22"/>
                <w:szCs w:val="22"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7A03CF" w:rsidRDefault="007A03CF" w:rsidP="00914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9141D5">
              <w:rPr>
                <w:color w:val="000000"/>
                <w:sz w:val="22"/>
                <w:szCs w:val="22"/>
              </w:rPr>
              <w:t>узовское образование</w:t>
            </w:r>
            <w:r>
              <w:rPr>
                <w:color w:val="000000"/>
                <w:sz w:val="22"/>
                <w:szCs w:val="22"/>
              </w:rPr>
              <w:t>:</w:t>
            </w:r>
            <w:r w:rsidR="009141D5">
              <w:rPr>
                <w:color w:val="000000"/>
                <w:sz w:val="22"/>
                <w:szCs w:val="22"/>
              </w:rPr>
              <w:t xml:space="preserve"> 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9141D5" w:rsidRP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7A03CF" w:rsidRDefault="007A03CF" w:rsidP="009141D5">
            <w:pPr>
              <w:jc w:val="center"/>
            </w:pPr>
          </w:p>
          <w:p w:rsidR="007A03CF" w:rsidRDefault="009141D5" w:rsidP="009141D5">
            <w:pPr>
              <w:jc w:val="center"/>
            </w:pPr>
            <w:r>
              <w:t>2</w:t>
            </w:r>
            <w:r w:rsidR="007A03CF">
              <w:t>0</w:t>
            </w:r>
          </w:p>
          <w:p w:rsidR="009141D5" w:rsidRDefault="007A03CF" w:rsidP="009141D5">
            <w:pPr>
              <w:jc w:val="center"/>
            </w:pPr>
            <w:r>
              <w:t>25</w:t>
            </w:r>
          </w:p>
          <w:p w:rsidR="007A03CF" w:rsidRDefault="007A03CF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B3489E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9141D5" w:rsidRPr="00024158" w:rsidRDefault="009141D5" w:rsidP="009141D5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A7554D" w:rsidRDefault="009141D5" w:rsidP="009141D5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4C2A93" w:rsidRDefault="009141D5" w:rsidP="009141D5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9141D5" w:rsidRPr="004473B9" w:rsidRDefault="009141D5" w:rsidP="009141D5">
            <w:pPr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C2A93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209" w:type="dxa"/>
            <w:gridSpan w:val="2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</w:pPr>
          </w:p>
          <w:p w:rsidR="009141D5" w:rsidRPr="00A7554D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proofErr w:type="gramStart"/>
            <w:r w:rsidRPr="00A7554D">
              <w:rPr>
                <w:sz w:val="20"/>
                <w:szCs w:val="20"/>
              </w:rPr>
              <w:t>Суммирование  баллов</w:t>
            </w:r>
            <w:proofErr w:type="gramEnd"/>
            <w:r w:rsidRPr="00A7554D">
              <w:rPr>
                <w:sz w:val="20"/>
                <w:szCs w:val="20"/>
              </w:rPr>
              <w:t xml:space="preserve"> по данным показателям</w:t>
            </w:r>
          </w:p>
          <w:p w:rsidR="009141D5" w:rsidRPr="00A7554D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209" w:type="dxa"/>
            <w:gridSpan w:val="2"/>
          </w:tcPr>
          <w:p w:rsidR="009141D5" w:rsidRPr="00CF5BD0" w:rsidRDefault="009141D5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9141D5" w:rsidRPr="00CF5BD0" w:rsidRDefault="009141D5" w:rsidP="009141D5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vMerge w:val="restart"/>
          </w:tcPr>
          <w:p w:rsidR="009141D5" w:rsidRPr="00CF5BD0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4B2A1F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Pr="004B2A1F" w:rsidRDefault="009141D5" w:rsidP="009141D5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</w:tcPr>
          <w:p w:rsidR="009141D5" w:rsidRPr="004473B9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9141D5" w:rsidRPr="004C2A93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141D5" w:rsidRDefault="009141D5" w:rsidP="009141D5">
            <w:pPr>
              <w:snapToGrid w:val="0"/>
              <w:jc w:val="both"/>
            </w:pPr>
          </w:p>
          <w:p w:rsidR="009141D5" w:rsidRPr="004473B9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5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9141D5" w:rsidRPr="004F482E" w:rsidRDefault="009141D5" w:rsidP="009141D5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9141D5" w:rsidRPr="004C2A93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9141D5" w:rsidRPr="00E51E9E" w:rsidRDefault="009141D5" w:rsidP="009141D5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9641EE" w:rsidRDefault="009141D5" w:rsidP="009141D5">
            <w:pPr>
              <w:snapToGrid w:val="0"/>
            </w:pPr>
            <w:r w:rsidRPr="009641EE">
              <w:t>6.6</w:t>
            </w:r>
            <w:r>
              <w:t>.</w:t>
            </w: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 xml:space="preserve">Общественное признание: отзывы в прессе о профессиональной деятельности педагогического работника, </w:t>
            </w:r>
            <w:proofErr w:type="gramStart"/>
            <w:r w:rsidRPr="009641EE">
              <w:rPr>
                <w:sz w:val="22"/>
                <w:szCs w:val="22"/>
              </w:rPr>
              <w:t>интервью,  общественные</w:t>
            </w:r>
            <w:proofErr w:type="gramEnd"/>
            <w:r w:rsidRPr="009641EE">
              <w:rPr>
                <w:sz w:val="22"/>
                <w:szCs w:val="22"/>
              </w:rPr>
              <w:t xml:space="preserve"> награды</w:t>
            </w:r>
          </w:p>
        </w:tc>
        <w:tc>
          <w:tcPr>
            <w:tcW w:w="907" w:type="dxa"/>
          </w:tcPr>
          <w:p w:rsidR="009141D5" w:rsidRPr="009641EE" w:rsidRDefault="009141D5" w:rsidP="009141D5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proofErr w:type="gramStart"/>
            <w:r w:rsidRPr="004C2A93">
              <w:rPr>
                <w:sz w:val="22"/>
                <w:szCs w:val="22"/>
              </w:rPr>
              <w:t>Учитель  предметов</w:t>
            </w:r>
            <w:proofErr w:type="gramEnd"/>
            <w:r w:rsidRPr="004C2A93">
              <w:rPr>
                <w:sz w:val="22"/>
                <w:szCs w:val="22"/>
              </w:rPr>
              <w:t>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842F0"/>
    <w:rsid w:val="00385401"/>
    <w:rsid w:val="0039307A"/>
    <w:rsid w:val="003C7B93"/>
    <w:rsid w:val="00404B4A"/>
    <w:rsid w:val="00430803"/>
    <w:rsid w:val="00441F91"/>
    <w:rsid w:val="004473B9"/>
    <w:rsid w:val="00450328"/>
    <w:rsid w:val="00485970"/>
    <w:rsid w:val="004C5C46"/>
    <w:rsid w:val="004E6D55"/>
    <w:rsid w:val="004F482E"/>
    <w:rsid w:val="004F513E"/>
    <w:rsid w:val="00500A9C"/>
    <w:rsid w:val="005359D0"/>
    <w:rsid w:val="0054624B"/>
    <w:rsid w:val="005539CC"/>
    <w:rsid w:val="00562132"/>
    <w:rsid w:val="00563A71"/>
    <w:rsid w:val="00564EE0"/>
    <w:rsid w:val="005E6384"/>
    <w:rsid w:val="00681AE1"/>
    <w:rsid w:val="006A29D1"/>
    <w:rsid w:val="006B00EA"/>
    <w:rsid w:val="006C7FF9"/>
    <w:rsid w:val="006E5509"/>
    <w:rsid w:val="006E6C6A"/>
    <w:rsid w:val="00710BA7"/>
    <w:rsid w:val="00732C4C"/>
    <w:rsid w:val="007527D4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D45C0"/>
    <w:rsid w:val="00AF27D5"/>
    <w:rsid w:val="00B10B62"/>
    <w:rsid w:val="00B13B93"/>
    <w:rsid w:val="00B35A29"/>
    <w:rsid w:val="00B52A4A"/>
    <w:rsid w:val="00B9242B"/>
    <w:rsid w:val="00BA67BC"/>
    <w:rsid w:val="00BC102D"/>
    <w:rsid w:val="00BD2B8C"/>
    <w:rsid w:val="00BD4016"/>
    <w:rsid w:val="00BD40FD"/>
    <w:rsid w:val="00C23004"/>
    <w:rsid w:val="00C5428C"/>
    <w:rsid w:val="00C553A7"/>
    <w:rsid w:val="00C623E1"/>
    <w:rsid w:val="00CB2595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101FB"/>
    <w:rsid w:val="00E219E9"/>
    <w:rsid w:val="00E27CE4"/>
    <w:rsid w:val="00E55F52"/>
    <w:rsid w:val="00E75B1A"/>
    <w:rsid w:val="00E96514"/>
    <w:rsid w:val="00EA5E56"/>
    <w:rsid w:val="00EB2E16"/>
    <w:rsid w:val="00EC2AA1"/>
    <w:rsid w:val="00EC2B70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EB8A-63E4-48C1-9FFA-0FD246D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AWJJH2MPE6E2-1875666747-487</_dlc_DocId>
    <_dlc_DocIdUrl xmlns="4a252ca3-5a62-4c1c-90a6-29f4710e47f8">
      <Url>https://xn--44-6kcadhwnl3cfdx.xn--p1ai/BuyR/Kren/School/_layouts/15/DocIdRedir.aspx?ID=AWJJH2MPE6E2-1875666747-487</Url>
      <Description>AWJJH2MPE6E2-1875666747-487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F3DE246-4229-4003-B77C-ACBF52C74719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3E518F80-7B8F-4C6D-8481-C72F5E728A19}"/>
</file>

<file path=customXml/itemProps5.xml><?xml version="1.0" encoding="utf-8"?>
<ds:datastoreItem xmlns:ds="http://schemas.openxmlformats.org/officeDocument/2006/customXml" ds:itemID="{F07705EC-E710-4938-BAD4-59B2EA680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2015-09-22T06:35:00Z</cp:lastPrinted>
  <dcterms:created xsi:type="dcterms:W3CDTF">2015-06-22T14:23:00Z</dcterms:created>
  <dcterms:modified xsi:type="dcterms:W3CDTF">2015-09-29T06:44:00Z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44264ef6-7c54-40e6-a29e-8783999416fa</vt:lpwstr>
  </property>
</Properties>
</file>